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bookmarkStart w:id="0" w:name="X1583615d46b563c2da1a3badbb51539ab63aa54"/>
      <w:r>
        <w:rPr/>
        <w:t>Genetic variation associated with a geographical cline in New Zealand populations of Argentine Stem Weevil</w:t>
      </w:r>
      <w:bookmarkEnd w:id="0"/>
    </w:p>
    <w:p>
      <w:pPr>
        <w:pStyle w:val="Normal"/>
        <w:rPr/>
      </w:pPr>
      <w:r>
        <w:rPr/>
        <w:t>Rachael Ashby</w:t>
      </w:r>
      <w:r>
        <w:rPr>
          <w:vertAlign w:val="superscript"/>
        </w:rPr>
        <w:t>3</w:t>
      </w:r>
      <w:r>
        <w:rPr/>
        <w:br/>
        <w:t>Peter K. Dearden</w:t>
      </w:r>
      <w:r>
        <w:rPr>
          <w:vertAlign w:val="superscript"/>
        </w:rPr>
        <w:t>1</w:t>
      </w:r>
      <w:r>
        <w:rPr/>
        <w:br/>
        <w:t>Stephen Goldson</w:t>
      </w:r>
      <w:r>
        <w:rPr>
          <w:vertAlign w:val="superscript"/>
        </w:rPr>
        <w:t>4</w:t>
      </w:r>
      <w:r>
        <w:rPr/>
        <w:br/>
        <w:t>Thomas W.R. Harrop</w:t>
      </w:r>
      <w:r>
        <w:rPr>
          <w:vertAlign w:val="superscript"/>
        </w:rPr>
        <w:t>1</w:t>
      </w:r>
      <w:r>
        <w:rPr/>
        <w:br/>
        <w:t>Sarah Inwood</w:t>
      </w:r>
      <w:r>
        <w:rPr>
          <w:vertAlign w:val="superscript"/>
        </w:rPr>
        <w:t>1</w:t>
      </w:r>
      <w:r>
        <w:rPr/>
        <w:br/>
        <w:t>Jeanne Jacobs</w:t>
      </w:r>
      <w:r>
        <w:rPr>
          <w:vertAlign w:val="superscript"/>
        </w:rPr>
        <w:t>3</w:t>
      </w:r>
      <w:r>
        <w:rPr/>
        <w:br/>
        <w:t>Ruy Juaregui</w:t>
      </w:r>
      <w:r>
        <w:rPr>
          <w:vertAlign w:val="superscript"/>
        </w:rPr>
        <w:t>2</w:t>
      </w:r>
      <w:r>
        <w:rPr/>
        <w:br/>
        <w:t>Marissa F. Le Lec</w:t>
      </w:r>
      <w:r>
        <w:rPr>
          <w:vertAlign w:val="superscript"/>
        </w:rPr>
        <w:t>1</w:t>
      </w:r>
      <w:r>
        <w:rPr/>
        <w:br/>
        <w:t>Shannon Taylor</w:t>
      </w:r>
      <w:r>
        <w:rPr>
          <w:vertAlign w:val="superscript"/>
        </w:rPr>
        <w:t>1</w:t>
      </w:r>
    </w:p>
    <w:p>
      <w:pPr>
        <w:pStyle w:val="Normal"/>
        <w:rPr/>
      </w:pPr>
      <w:r>
        <w:rPr/>
        <w:t>Alphabetical for now! Sample collectors, goldson’s dissection crew?</w:t>
      </w:r>
    </w:p>
    <w:p>
      <w:pPr>
        <w:pStyle w:val="Normal"/>
        <w:rPr/>
      </w:pPr>
      <w:r>
        <w:rPr>
          <w:vertAlign w:val="superscript"/>
        </w:rPr>
        <w:t>1</w:t>
      </w:r>
      <w:r>
        <w:rPr/>
        <w:t xml:space="preserve"> University of Otago</w:t>
        <w:br/>
      </w:r>
      <w:r>
        <w:rPr>
          <w:vertAlign w:val="superscript"/>
        </w:rPr>
        <w:t>2</w:t>
      </w:r>
      <w:r>
        <w:rPr/>
        <w:t xml:space="preserve"> AgResearch Palmerston North</w:t>
        <w:br/>
      </w:r>
      <w:r>
        <w:rPr>
          <w:vertAlign w:val="superscript"/>
        </w:rPr>
        <w:t>3</w:t>
      </w:r>
      <w:r>
        <w:rPr/>
        <w:t xml:space="preserve"> AgResearch Lincoln?</w:t>
        <w:br/>
      </w:r>
      <w:r>
        <w:rPr>
          <w:vertAlign w:val="superscript"/>
        </w:rPr>
        <w:t>4</w:t>
      </w:r>
      <w:r>
        <w:rPr/>
        <w:t xml:space="preserve"> BPRC</w:t>
      </w:r>
    </w:p>
    <w:p>
      <w:pPr>
        <w:pStyle w:val="Heading2"/>
        <w:numPr>
          <w:ilvl w:val="1"/>
          <w:numId w:val="2"/>
        </w:numPr>
        <w:rPr/>
      </w:pPr>
      <w:bookmarkStart w:id="1" w:name="abstract"/>
      <w:r>
        <w:rPr/>
        <w:t>Abstract</w:t>
      </w:r>
      <w:bookmarkEnd w:id="1"/>
    </w:p>
    <w:p>
      <w:pPr>
        <w:pStyle w:val="Normal"/>
        <w:rPr/>
      </w:pPr>
      <w:r>
        <w:rPr/>
        <w:t>The abstract should outline the purpose of the paper and the main results, conclusions and recommendations, using clear, factual, numbered statements</w:t>
      </w:r>
    </w:p>
    <w:p>
      <w:pPr>
        <w:pStyle w:val="Normal"/>
        <w:rPr/>
      </w:pPr>
      <w:r>
        <w:rPr/>
        <w:t>context and need for the work</w:t>
      </w:r>
    </w:p>
    <w:p>
      <w:pPr>
        <w:pStyle w:val="Normal"/>
        <w:rPr/>
      </w:pPr>
      <w:r>
        <w:rPr/>
        <w:t>approach and methods used</w:t>
      </w:r>
    </w:p>
    <w:p>
      <w:pPr>
        <w:pStyle w:val="Normal"/>
        <w:rPr/>
      </w:pPr>
      <w:r>
        <w:rPr/>
        <w:t>main results (2-3 points)</w:t>
      </w:r>
    </w:p>
    <w:p>
      <w:pPr>
        <w:pStyle w:val="Heading3"/>
        <w:numPr>
          <w:ilvl w:val="2"/>
          <w:numId w:val="2"/>
        </w:numPr>
        <w:rPr/>
      </w:pPr>
      <w:bookmarkStart w:id="2" w:name="synthesis-and-applications"/>
      <w:r>
        <w:rPr/>
        <w:t>Synthesis and applications</w:t>
      </w:r>
      <w:bookmarkEnd w:id="2"/>
    </w:p>
    <w:p>
      <w:pPr>
        <w:pStyle w:val="Normal"/>
        <w:rPr/>
      </w:pPr>
      <w:r>
        <w:rPr/>
        <w:t>wider implications and relevance to management or policy</w:t>
      </w:r>
    </w:p>
    <w:p>
      <w:pPr>
        <w:pStyle w:val="Heading3"/>
        <w:numPr>
          <w:ilvl w:val="2"/>
          <w:numId w:val="2"/>
        </w:numPr>
        <w:rPr/>
      </w:pPr>
      <w:bookmarkStart w:id="3" w:name="keywords"/>
      <w:r>
        <w:rPr/>
        <w:t>Keywords</w:t>
      </w:r>
      <w:bookmarkEnd w:id="3"/>
    </w:p>
    <w:p>
      <w:pPr>
        <w:pStyle w:val="Normal"/>
        <w:rPr/>
      </w:pPr>
      <w:r>
        <w:rPr>
          <w:b/>
        </w:rPr>
        <w:t>weevils are naughty</w:t>
      </w:r>
    </w:p>
    <w:p>
      <w:pPr>
        <w:pStyle w:val="Heading2"/>
        <w:numPr>
          <w:ilvl w:val="1"/>
          <w:numId w:val="2"/>
        </w:numPr>
        <w:rPr/>
      </w:pPr>
      <w:bookmarkStart w:id="4" w:name="introduction"/>
      <w:r>
        <w:rPr/>
        <w:t>Introduction</w:t>
      </w:r>
      <w:bookmarkEnd w:id="4"/>
    </w:p>
    <w:p>
      <w:pPr>
        <w:pStyle w:val="Heading2"/>
        <w:numPr>
          <w:ilvl w:val="1"/>
          <w:numId w:val="2"/>
        </w:numPr>
        <w:rPr/>
      </w:pPr>
      <w:bookmarkStart w:id="5" w:name="materials-and-methods"/>
      <w:r>
        <w:rPr/>
        <w:t>Materials and methods</w:t>
      </w:r>
      <w:bookmarkEnd w:id="5"/>
    </w:p>
    <w:p>
      <w:pPr>
        <w:pStyle w:val="Heading3"/>
        <w:numPr>
          <w:ilvl w:val="2"/>
          <w:numId w:val="2"/>
        </w:numPr>
        <w:rPr/>
      </w:pPr>
      <w:bookmarkStart w:id="6" w:name="collections-etc.-for-gbs"/>
      <w:r>
        <w:rPr/>
        <w:t xml:space="preserve">Collections </w:t>
      </w:r>
      <w:r>
        <w:rPr>
          <w:i/>
        </w:rPr>
        <w:t>etc</w:t>
      </w:r>
      <w:r>
        <w:rPr/>
        <w:t>. for GBS</w:t>
      </w:r>
      <w:bookmarkEnd w:id="6"/>
    </w:p>
    <w:p>
      <w:pPr>
        <w:pStyle w:val="Normal"/>
        <w:rPr/>
      </w:pPr>
      <w:r>
        <w:rPr/>
        <w:t>Weevils were collected from blah</w:t>
      </w:r>
    </w:p>
    <w:p>
      <w:pPr>
        <w:pStyle w:val="Heading3"/>
        <w:numPr>
          <w:ilvl w:val="2"/>
          <w:numId w:val="2"/>
        </w:numPr>
        <w:rPr/>
      </w:pPr>
      <w:bookmarkStart w:id="7" w:name="gbs-sequencing-and-processing"/>
      <w:r>
        <w:rPr/>
        <w:t>GBS sequencing and processing</w:t>
      </w:r>
      <w:bookmarkEnd w:id="7"/>
    </w:p>
    <w:p>
      <w:pPr>
        <w:pStyle w:val="Normal"/>
        <w:rPr/>
      </w:pPr>
      <w:r>
        <w:rPr/>
        <w:t>DNA was extracted blah</w:t>
      </w:r>
    </w:p>
    <w:p>
      <w:pPr>
        <w:pStyle w:val="Heading3"/>
        <w:numPr>
          <w:ilvl w:val="2"/>
          <w:numId w:val="2"/>
        </w:numPr>
        <w:rPr/>
      </w:pPr>
      <w:bookmarkStart w:id="8" w:name="genome-assembly"/>
      <w:r>
        <w:rPr/>
        <w:t>Genome assembly</w:t>
      </w:r>
      <w:bookmarkEnd w:id="8"/>
    </w:p>
    <w:p>
      <w:pPr>
        <w:pStyle w:val="Normal"/>
        <w:rPr/>
      </w:pPr>
      <w:r>
        <w:rPr/>
        <w:t xml:space="preserve">An </w:t>
      </w:r>
      <w:r>
        <w:rPr>
          <w:b/>
        </w:rPr>
        <w:t>Illumina TruSeq PCR-free?</w:t>
      </w:r>
      <w:r>
        <w:rPr/>
        <w:t xml:space="preserve"> library was generated from DNA extracted from a single, male Argentine stem weevil (</w:t>
      </w:r>
      <w:r>
        <w:rPr>
          <w:b/>
        </w:rPr>
        <w:t>moar deets</w:t>
      </w:r>
      <w:r>
        <w:rPr/>
        <w:t xml:space="preserve">). A total of </w:t>
      </w:r>
      <w:r>
        <w:rPr>
          <w:b/>
        </w:rPr>
        <w:t>X GB</w:t>
      </w:r>
      <w:r>
        <w:rPr/>
        <w:t xml:space="preserve"> of paired-end 100 b and paired-end 150 b reads were generated from the TruSeq PCR-free library. After removing common sequencing contaminants and trimming adaptor sequences using BBMap (</w:t>
      </w:r>
      <w:r>
        <w:rPr>
          <w:b/>
        </w:rPr>
        <w:t>ref</w:t>
      </w:r>
      <w:r>
        <w:rPr/>
        <w:t>), a short-read-only genome was assembled with meraculous [</w:t>
      </w:r>
      <w:r>
        <w:rPr>
          <w:b/>
        </w:rPr>
        <w:t>ref</w:t>
      </w:r>
      <w:r>
        <w:rPr/>
        <w:t>].</w:t>
      </w:r>
    </w:p>
    <w:p>
      <w:pPr>
        <w:pStyle w:val="Normal"/>
        <w:rPr/>
      </w:pPr>
      <w:r>
        <w:rPr/>
        <w:t>WGA of single indiv</w:t>
      </w:r>
    </w:p>
    <w:p>
      <w:pPr>
        <w:pStyle w:val="Normal"/>
        <w:rPr/>
      </w:pPr>
      <w:r>
        <w:rPr/>
        <w:t>ONT stuff</w:t>
      </w:r>
    </w:p>
    <w:p>
      <w:pPr>
        <w:pStyle w:val="Normal"/>
        <w:rPr/>
      </w:pPr>
      <w:r>
        <w:rPr/>
        <w:t>Assembly tricks</w:t>
      </w:r>
    </w:p>
    <w:p>
      <w:pPr>
        <w:pStyle w:val="Normal"/>
        <w:rPr/>
      </w:pPr>
      <w:r>
        <w:rPr/>
        <w:t>Analysis (BUSCO, RepeatModeller)</w:t>
      </w:r>
    </w:p>
    <w:p>
      <w:pPr>
        <w:pStyle w:val="Heading3"/>
        <w:numPr>
          <w:ilvl w:val="2"/>
          <w:numId w:val="2"/>
        </w:numPr>
        <w:rPr/>
      </w:pPr>
      <w:bookmarkStart w:id="9" w:name="genome-based-analyses-e.g.-fst"/>
      <w:r>
        <w:rPr/>
        <w:t xml:space="preserve">Genome-based analyses </w:t>
      </w:r>
      <w:r>
        <w:rPr>
          <w:i/>
        </w:rPr>
        <w:t>e.g.</w:t>
      </w:r>
      <w:r>
        <w:rPr/>
        <w:t xml:space="preserve"> </w:t>
      </w:r>
      <w:r>
        <w:rPr>
          <w:i/>
        </w:rPr>
        <w:t>F</w:t>
      </w:r>
      <w:r>
        <w:rPr>
          <w:vertAlign w:val="subscript"/>
        </w:rPr>
        <w:t>ST</w:t>
      </w:r>
      <w:bookmarkEnd w:id="9"/>
    </w:p>
    <w:p>
      <w:pPr>
        <w:pStyle w:val="Normal"/>
        <w:rPr/>
      </w:pPr>
      <w:r>
        <w:rPr/>
        <w:t>Catalog was mapped with bwa mem etc.</w:t>
      </w:r>
    </w:p>
    <w:p>
      <w:pPr>
        <w:pStyle w:val="Heading3"/>
        <w:numPr>
          <w:ilvl w:val="2"/>
          <w:numId w:val="2"/>
        </w:numPr>
        <w:rPr/>
      </w:pPr>
      <w:bookmarkStart w:id="10" w:name="reproducibility-and-data-availability"/>
      <w:r>
        <w:rPr/>
        <w:t>Reproducibility and data availability</w:t>
      </w:r>
      <w:bookmarkEnd w:id="10"/>
    </w:p>
    <w:p>
      <w:pPr>
        <w:pStyle w:val="Normal"/>
        <w:rPr/>
      </w:pPr>
      <w:r>
        <w:rPr/>
        <w:t xml:space="preserve">Raw sequence data for the ASW genome are hosted at the National Center for Biotechnology Information Sequence Read Archive (NCBI SRA) under accession </w:t>
      </w:r>
      <w:r>
        <w:rPr>
          <w:b/>
        </w:rPr>
        <w:t>TBA</w:t>
      </w:r>
      <w:r>
        <w:rPr/>
        <w:t xml:space="preserve">. The code we used to assemble the ASW genome is hosted at </w:t>
      </w:r>
      <w:hyperlink r:id="rId2">
        <w:r>
          <w:rPr>
            <w:rStyle w:val="InternetLink"/>
          </w:rPr>
          <w:t>github.com/TomHarrop/asw-flye-withpool</w:t>
        </w:r>
      </w:hyperlink>
      <w:r>
        <w:rPr/>
        <w:t xml:space="preserve">. We used snakemake (Köster &amp; Rahmann, 2012) to arrange analysis steps into workflows and monitor dependencies, and Singularity (Kurtzer, Sochat, &amp; Bauer, 2017)make to capture the computing environment. The final results and all intermediate steps can be reproduced from the raw data with a single command using snakemake and Singularity. The source for this manuscript is hosted at </w:t>
      </w:r>
      <w:hyperlink r:id="rId3">
        <w:r>
          <w:rPr>
            <w:rStyle w:val="InternetLink"/>
          </w:rPr>
          <w:t>github.com/TomHarrop/asw-gbs-genome-paper</w:t>
        </w:r>
      </w:hyperlink>
      <w:r>
        <w:rPr/>
        <w:t>.X</w:t>
      </w:r>
    </w:p>
    <w:p>
      <w:pPr>
        <w:pStyle w:val="Heading2"/>
        <w:numPr>
          <w:ilvl w:val="1"/>
          <w:numId w:val="2"/>
        </w:numPr>
        <w:rPr/>
      </w:pPr>
      <w:bookmarkStart w:id="11" w:name="results"/>
      <w:r>
        <w:rPr/>
        <w:t>Results</w:t>
      </w:r>
      <w:bookmarkEnd w:id="11"/>
    </w:p>
    <w:p>
      <w:pPr>
        <w:pStyle w:val="Heading3"/>
        <w:numPr>
          <w:ilvl w:val="2"/>
          <w:numId w:val="2"/>
        </w:numPr>
        <w:rPr/>
      </w:pPr>
      <w:bookmarkStart w:id="12" w:name="X0e4df02d512cb7f0df309420b8cde32a960a87d"/>
      <w:r>
        <w:rPr/>
        <w:t>Variation in NZ populations of Argentine stem weevil</w:t>
      </w:r>
      <w:bookmarkEnd w:id="12"/>
    </w:p>
    <w:p>
      <w:pPr>
        <w:pStyle w:val="Normal"/>
        <w:rPr/>
      </w:pPr>
      <w:r>
        <w:rPr/>
        <w:t>To measure the variation in NZ populations of ASW, we collected samples from X Y Z locations. We found lots of sweet variation.</w:t>
      </w:r>
    </w:p>
    <w:p>
      <w:pPr>
        <w:pStyle w:val="Heading3"/>
        <w:numPr>
          <w:ilvl w:val="2"/>
          <w:numId w:val="2"/>
        </w:numPr>
        <w:rPr/>
      </w:pPr>
      <w:bookmarkStart w:id="13" w:name="the-argentine-stem-weevil-genome"/>
      <w:r>
        <w:rPr/>
        <w:t>The Argentine stem weevil genome</w:t>
      </w:r>
      <w:bookmarkEnd w:id="13"/>
    </w:p>
    <w:p>
      <w:pPr>
        <w:pStyle w:val="Normal"/>
        <w:rPr/>
      </w:pPr>
      <w:r>
        <w:rPr/>
        <w:t>To map the variation in NZ population of ASW to regions of the genome, we constructed a draft assembly. We initially attempted to assemble a genome from a single individual using short-read sequencing. This resulted in a fragmented assembly with poor BUSCO scores (</w:t>
      </w:r>
      <w:r>
        <w:rPr>
          <w:b/>
        </w:rPr>
        <w:t>genome_table</w:t>
      </w:r>
      <w:r>
        <w:rPr/>
        <w:t>). Because of the high heterozygosity in the single-individual short-read library (</w:t>
      </w:r>
      <w:r>
        <w:rPr>
          <w:b/>
        </w:rPr>
        <w:t>SI</w:t>
      </w:r>
      <w:r>
        <w:rPr/>
        <w:t xml:space="preserve">), we attempted to produce a long-read genome assembly using whole-genome amplification (WGA) of high molecular weight (HMW) DNA from a single individual followed by sequencing on the Oxford Nanopore Technologies (ONT) MinION sequencer. We produced </w:t>
      </w:r>
      <w:r>
        <w:rPr>
          <w:b/>
        </w:rPr>
        <w:t>X GB</w:t>
      </w:r>
      <w:r>
        <w:rPr/>
        <w:t xml:space="preserve"> of reads with an </w:t>
      </w:r>
      <w:r>
        <w:rPr>
          <w:i/>
        </w:rPr>
        <w:t>N</w:t>
      </w:r>
      <w:r>
        <w:rPr>
          <w:vertAlign w:val="subscript"/>
        </w:rPr>
        <w:t>50</w:t>
      </w:r>
      <w:r>
        <w:rPr/>
        <w:t xml:space="preserve"> length of </w:t>
      </w:r>
      <w:r>
        <w:rPr>
          <w:b/>
        </w:rPr>
        <w:t>Y KB</w:t>
      </w:r>
      <w:r>
        <w:rPr/>
        <w:t xml:space="preserve">. The low read </w:t>
      </w:r>
      <w:r>
        <w:rPr>
          <w:i/>
        </w:rPr>
        <w:t>N</w:t>
      </w:r>
      <w:r>
        <w:rPr>
          <w:vertAlign w:val="subscript"/>
        </w:rPr>
        <w:t>50</w:t>
      </w:r>
      <w:r>
        <w:rPr/>
        <w:t xml:space="preserve"> length is caused by branching of the genomic DNA during WGA by Φ29 DNA polymerase [</w:t>
      </w:r>
      <w:r>
        <w:rPr>
          <w:b/>
        </w:rPr>
        <w:t>ref</w:t>
      </w:r>
      <w:r>
        <w:rPr/>
        <w:t>]. Assembling the single-individual, long-read-only genome resulted in improved contiguity and BUSCO scores (</w:t>
      </w:r>
      <w:r>
        <w:rPr>
          <w:b/>
        </w:rPr>
        <w:t>genome_table</w:t>
      </w:r>
      <w:r>
        <w:rPr/>
        <w:t>). We detected an extreme level of repeats in the single-individual, long-read-only genome (</w:t>
      </w:r>
      <w:r>
        <w:rPr>
          <w:b/>
        </w:rPr>
        <w:t>genome_table</w:t>
      </w:r>
      <w:r>
        <w:rPr/>
        <w:t xml:space="preserve">). To produce a second ONT dataset with longer reads, we extracted HMW DNA from a pool of </w:t>
      </w:r>
      <w:r>
        <w:rPr>
          <w:b/>
        </w:rPr>
        <w:t>x</w:t>
      </w:r>
      <w:r>
        <w:rPr/>
        <w:t xml:space="preserve"> individuals. Sequencing this DNA on the MinION sequencer produced </w:t>
      </w:r>
      <w:r>
        <w:rPr>
          <w:b/>
        </w:rPr>
        <w:t>X GB</w:t>
      </w:r>
      <w:r>
        <w:rPr/>
        <w:t xml:space="preserve"> of reads with an </w:t>
      </w:r>
      <w:r>
        <w:rPr>
          <w:i/>
        </w:rPr>
        <w:t>N</w:t>
      </w:r>
      <w:r>
        <w:rPr>
          <w:vertAlign w:val="subscript"/>
        </w:rPr>
        <w:t>50</w:t>
      </w:r>
      <w:r>
        <w:rPr/>
        <w:t xml:space="preserve"> length of </w:t>
      </w:r>
      <w:r>
        <w:rPr>
          <w:b/>
        </w:rPr>
        <w:t>Y KB</w:t>
      </w:r>
      <w:r>
        <w:rPr/>
        <w:t>. We constructed a draft genome using the pooled, long-read dataset for contig construction, and the single-individual, long-read dataset for assembly polishing. This resulted in a more contiguous assembly, but a large number of redundant contigs (</w:t>
      </w:r>
      <w:r>
        <w:rPr>
          <w:b/>
        </w:rPr>
        <w:t>genome_table</w:t>
      </w:r>
      <w:r>
        <w:rPr/>
        <w:t>), presumably because of the high rate of heterozygosity in the pooled, long-read dataset. After using the short-read, single-individual sequencing data with the purge_haplotigs pipeline to remove redundant contigs (</w:t>
      </w:r>
      <w:r>
        <w:rPr>
          <w:b/>
        </w:rPr>
        <w:t>ref</w:t>
      </w:r>
      <w:r>
        <w:rPr/>
        <w:t xml:space="preserve">), we produced a final, draft genome of </w:t>
      </w:r>
      <w:r>
        <w:rPr>
          <w:b/>
        </w:rPr>
        <w:t>X GB</w:t>
      </w:r>
      <w:r>
        <w:rPr/>
        <w:t xml:space="preserve"> (</w:t>
      </w:r>
      <w:r>
        <w:rPr>
          <w:b/>
        </w:rPr>
        <w:t>genome_table</w:t>
      </w:r>
      <w:r>
        <w:rPr/>
        <w:t xml:space="preserve">). </w:t>
      </w:r>
      <w:r>
        <w:rPr>
          <w:b/>
        </w:rPr>
        <w:t>Something about the repetitiveness</w:t>
      </w:r>
      <w:r>
        <w:rPr/>
        <w:t>. We used this draft genome for subsequent analysis.</w:t>
      </w:r>
    </w:p>
    <w:p>
      <w:pPr>
        <w:pStyle w:val="Heading3"/>
        <w:numPr>
          <w:ilvl w:val="2"/>
          <w:numId w:val="2"/>
        </w:numPr>
        <w:rPr/>
      </w:pPr>
      <w:bookmarkStart w:id="14" w:name="X53f798f8dda806488ebc8b15e3612250f1e8c85"/>
      <w:r>
        <w:rPr/>
        <w:t>Variation associates with a North-South cline</w:t>
      </w:r>
      <w:bookmarkEnd w:id="14"/>
    </w:p>
    <w:p>
      <w:pPr>
        <w:pStyle w:val="Normal"/>
        <w:rPr/>
      </w:pPr>
      <w:r>
        <w:rPr/>
        <w:t>etc. etc.</w:t>
      </w:r>
    </w:p>
    <w:p>
      <w:pPr>
        <w:pStyle w:val="Heading2"/>
        <w:numPr>
          <w:ilvl w:val="1"/>
          <w:numId w:val="2"/>
        </w:numPr>
        <w:rPr/>
      </w:pPr>
      <w:bookmarkStart w:id="15" w:name="discussion"/>
      <w:r>
        <w:rPr/>
        <w:t>Discussion</w:t>
      </w:r>
      <w:bookmarkEnd w:id="15"/>
    </w:p>
    <w:p>
      <w:pPr>
        <w:pStyle w:val="Heading2"/>
        <w:numPr>
          <w:ilvl w:val="1"/>
          <w:numId w:val="2"/>
        </w:numPr>
        <w:rPr/>
      </w:pPr>
      <w:bookmarkStart w:id="16" w:name="authors-contributions"/>
      <w:r>
        <w:rPr/>
        <w:t>Authors’ contributions</w:t>
      </w:r>
      <w:bookmarkEnd w:id="16"/>
    </w:p>
    <w:p>
      <w:pPr>
        <w:pStyle w:val="Heading2"/>
        <w:numPr>
          <w:ilvl w:val="1"/>
          <w:numId w:val="2"/>
        </w:numPr>
        <w:rPr/>
      </w:pPr>
      <w:bookmarkStart w:id="17" w:name="acknowledgements"/>
      <w:r>
        <w:rPr/>
        <w:t>Acknowledgements</w:t>
      </w:r>
      <w:bookmarkEnd w:id="17"/>
    </w:p>
    <w:p>
      <w:pPr>
        <w:pStyle w:val="Heading2"/>
        <w:numPr>
          <w:ilvl w:val="1"/>
          <w:numId w:val="2"/>
        </w:numPr>
        <w:rPr/>
      </w:pPr>
      <w:bookmarkStart w:id="18" w:name="data-availability"/>
      <w:r>
        <w:rPr/>
        <w:t>Data availability</w:t>
      </w:r>
      <w:bookmarkEnd w:id="18"/>
    </w:p>
    <w:p>
      <w:pPr>
        <w:pStyle w:val="Heading2"/>
        <w:numPr>
          <w:ilvl w:val="1"/>
          <w:numId w:val="2"/>
        </w:numPr>
        <w:rPr/>
      </w:pPr>
      <w:bookmarkStart w:id="19" w:name="references"/>
      <w:r>
        <w:rPr/>
        <w:t>References</w:t>
      </w:r>
      <w:bookmarkEnd w:id="19"/>
    </w:p>
    <w:p>
      <w:pPr>
        <w:pStyle w:val="Normal"/>
        <w:rPr/>
      </w:pPr>
      <w:r>
        <w:rPr/>
        <w:t xml:space="preserve">Köster, J., &amp; Rahmann, S. (2012). Snakemakea scalable bioinformatics workflow engine. </w:t>
      </w:r>
      <w:r>
        <w:rPr>
          <w:i/>
        </w:rPr>
        <w:t>Bioinformatics</w:t>
      </w:r>
      <w:r>
        <w:rPr/>
        <w:t xml:space="preserve">, </w:t>
      </w:r>
      <w:r>
        <w:rPr>
          <w:i/>
        </w:rPr>
        <w:t>28</w:t>
      </w:r>
      <w:r>
        <w:rPr/>
        <w:t xml:space="preserve">(19), 2520–2522. doi: </w:t>
      </w:r>
      <w:hyperlink r:id="rId4">
        <w:r>
          <w:rPr>
            <w:rStyle w:val="InternetLink"/>
          </w:rPr>
          <w:t>10.1093/bioinformatics/bts480</w:t>
        </w:r>
      </w:hyperlink>
      <w:r>
        <w:rPr/>
        <w:t>X</w:t>
      </w:r>
      <w:bookmarkStart w:id="20" w:name="X2e700f92c6894ae11db64f79d26700cf6bc7cef"/>
      <w:bookmarkEnd w:id="20"/>
    </w:p>
    <w:p>
      <w:pPr>
        <w:pStyle w:val="Normal"/>
        <w:rPr/>
      </w:pPr>
      <w:r>
        <w:rPr/>
        <w:t xml:space="preserve">Kurtzer, G. M., Sochat, V., &amp; Bauer, M. W. (2017). Singularity: Scientific containers for mobility of compute. </w:t>
      </w:r>
      <w:r>
        <w:rPr>
          <w:i/>
        </w:rPr>
        <w:t>PLOS ONE</w:t>
      </w:r>
      <w:r>
        <w:rPr/>
        <w:t xml:space="preserve">, </w:t>
      </w:r>
      <w:r>
        <w:rPr>
          <w:i/>
        </w:rPr>
        <w:t>12</w:t>
      </w:r>
      <w:r>
        <w:rPr/>
        <w:t xml:space="preserve">(5), e0177459. doi: </w:t>
      </w:r>
      <w:hyperlink r:id="rId5">
        <w:r>
          <w:rPr>
            <w:rStyle w:val="InternetLink"/>
          </w:rPr>
          <w:t>10.1371/journal.pone.0177459</w:t>
        </w:r>
      </w:hyperlink>
      <w:r>
        <w:rPr/>
        <w:t>X</w:t>
      </w:r>
    </w:p>
    <w:sectPr>
      <w:footerReference w:type="default" r:id="rId6"/>
      <w:type w:val="nextPage"/>
      <w:pgSz w:w="12240" w:h="15840"/>
      <w:pgMar w:left="1440" w:right="1440" w:header="0" w:top="1440" w:footer="1440" w:bottom="2016" w:gutter="0"/>
      <w:lnNumType w:countBy="1" w:restart="continuous" w:distance="28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0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clear" w:pos="720"/>
      </w:tabs>
      <w:overflowPunct w:val="false"/>
      <w:bidi w:val="0"/>
      <w:spacing w:lineRule="auto" w:line="480" w:before="0" w:after="0"/>
      <w:jc w:val="left"/>
    </w:pPr>
    <w:rPr>
      <w:rFonts w:ascii="Georgia" w:hAnsi="Georgia" w:eastAsia="Lucida Sans Unicode" w:cs="Tahoma"/>
      <w:color w:val="auto"/>
      <w:kern w:val="2"/>
      <w:sz w:val="24"/>
      <w:szCs w:val="24"/>
      <w:lang w:val="en-GB-oxendict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uppressLineNumbers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pageBreakBefore/>
      <w:numPr>
        <w:ilvl w:val="1"/>
        <w:numId w:val="1"/>
      </w:numPr>
      <w:suppressLineNumbers/>
      <w:jc w:val="left"/>
      <w:outlineLvl w:val="1"/>
    </w:pPr>
    <w:rPr>
      <w:b/>
      <w:bCs/>
      <w:i w:val="false"/>
      <w:iCs/>
      <w:caps w:val="false"/>
      <w:smallCaps w:val="false"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uppressLineNumbers/>
      <w:outlineLvl w:val="2"/>
    </w:pPr>
    <w:rPr>
      <w:b/>
      <w:bCs/>
      <w:i w:val="false"/>
      <w:sz w:val="24"/>
      <w:szCs w:val="28"/>
    </w:rPr>
  </w:style>
  <w:style w:type="paragraph" w:styleId="Heading4">
    <w:name w:val="Heading 4"/>
    <w:basedOn w:val="Heading3"/>
    <w:next w:val="TextBody"/>
    <w:qFormat/>
    <w:pPr>
      <w:keepLines/>
      <w:numPr>
        <w:ilvl w:val="3"/>
        <w:numId w:val="1"/>
      </w:numPr>
      <w:suppressLineNumbers/>
      <w:outlineLvl w:val="3"/>
    </w:pPr>
    <w:rPr>
      <w:b/>
      <w:bCs/>
      <w:i w:val="false"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7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4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character" w:styleId="LineNumbering">
    <w:name w:val="Line Numbering"/>
    <w:rPr/>
  </w:style>
  <w:style w:type="character" w:styleId="KeywordTok" w:customStyle="1">
    <w:name w:val="KeywordTok"/>
    <w:qFormat/>
    <w:rPr>
      <w:b/>
      <w:color w:val="007020"/>
    </w:rPr>
  </w:style>
  <w:style w:type="character" w:styleId="DataTypeTok" w:customStyle="1">
    <w:name w:val="DataTypeTok"/>
    <w:qFormat/>
    <w:rPr>
      <w:color w:val="902000"/>
    </w:rPr>
  </w:style>
  <w:style w:type="character" w:styleId="DecValTok" w:customStyle="1">
    <w:name w:val="DecValTok"/>
    <w:qFormat/>
    <w:rPr>
      <w:color w:val="40A070"/>
    </w:rPr>
  </w:style>
  <w:style w:type="character" w:styleId="BaseNTok" w:customStyle="1">
    <w:name w:val="BaseNTok"/>
    <w:qFormat/>
    <w:rPr>
      <w:color w:val="40A070"/>
    </w:rPr>
  </w:style>
  <w:style w:type="character" w:styleId="FloatTok" w:customStyle="1">
    <w:name w:val="FloatTok"/>
    <w:qFormat/>
    <w:rPr>
      <w:color w:val="40A070"/>
    </w:rPr>
  </w:style>
  <w:style w:type="character" w:styleId="ConstantTok" w:customStyle="1">
    <w:name w:val="ConstantTok"/>
    <w:qFormat/>
    <w:rPr>
      <w:color w:val="880000"/>
    </w:rPr>
  </w:style>
  <w:style w:type="character" w:styleId="CharTok" w:customStyle="1">
    <w:name w:val="CharTok"/>
    <w:qFormat/>
    <w:rPr>
      <w:color w:val="4070A0"/>
    </w:rPr>
  </w:style>
  <w:style w:type="character" w:styleId="SpecialCharTok" w:customStyle="1">
    <w:name w:val="SpecialCharTok"/>
    <w:qFormat/>
    <w:rPr>
      <w:color w:val="4070A0"/>
    </w:rPr>
  </w:style>
  <w:style w:type="character" w:styleId="StringTok" w:customStyle="1">
    <w:name w:val="StringTok"/>
    <w:qFormat/>
    <w:rPr>
      <w:color w:val="4070A0"/>
    </w:rPr>
  </w:style>
  <w:style w:type="character" w:styleId="VerbatimStringTok" w:customStyle="1">
    <w:name w:val="VerbatimStringTok"/>
    <w:qFormat/>
    <w:rPr>
      <w:color w:val="4070A0"/>
    </w:rPr>
  </w:style>
  <w:style w:type="character" w:styleId="SpecialStringTok" w:customStyle="1">
    <w:name w:val="SpecialStringTok"/>
    <w:qFormat/>
    <w:rPr>
      <w:color w:val="BB6688"/>
    </w:rPr>
  </w:style>
  <w:style w:type="character" w:styleId="ImportTok" w:customStyle="1">
    <w:name w:val="ImportTok"/>
    <w:qFormat/>
    <w:rPr/>
  </w:style>
  <w:style w:type="character" w:styleId="CommentTok" w:customStyle="1">
    <w:name w:val="CommentTok"/>
    <w:qFormat/>
    <w:rPr>
      <w:i/>
      <w:color w:val="60A0B0"/>
    </w:rPr>
  </w:style>
  <w:style w:type="character" w:styleId="DocumentationTok" w:customStyle="1">
    <w:name w:val="DocumentationTok"/>
    <w:qFormat/>
    <w:rPr>
      <w:i/>
      <w:color w:val="BA2121"/>
    </w:rPr>
  </w:style>
  <w:style w:type="character" w:styleId="AnnotationTok" w:customStyle="1">
    <w:name w:val="AnnotationTok"/>
    <w:qFormat/>
    <w:rPr>
      <w:b/>
      <w:i/>
      <w:color w:val="60A0B0"/>
    </w:rPr>
  </w:style>
  <w:style w:type="character" w:styleId="CommentVarTok" w:customStyle="1">
    <w:name w:val="CommentVarTok"/>
    <w:qFormat/>
    <w:rPr>
      <w:b/>
      <w:i/>
      <w:color w:val="60A0B0"/>
    </w:rPr>
  </w:style>
  <w:style w:type="character" w:styleId="OtherTok" w:customStyle="1">
    <w:name w:val="OtherTok"/>
    <w:qFormat/>
    <w:rPr>
      <w:color w:val="007020"/>
    </w:rPr>
  </w:style>
  <w:style w:type="character" w:styleId="FunctionTok" w:customStyle="1">
    <w:name w:val="FunctionTok"/>
    <w:qFormat/>
    <w:rPr>
      <w:color w:val="06287E"/>
    </w:rPr>
  </w:style>
  <w:style w:type="character" w:styleId="VariableTok" w:customStyle="1">
    <w:name w:val="VariableTok"/>
    <w:qFormat/>
    <w:rPr>
      <w:color w:val="19177C"/>
    </w:rPr>
  </w:style>
  <w:style w:type="character" w:styleId="ControlFlowTok" w:customStyle="1">
    <w:name w:val="ControlFlowTok"/>
    <w:qFormat/>
    <w:rPr>
      <w:b/>
      <w:color w:val="007020"/>
    </w:rPr>
  </w:style>
  <w:style w:type="character" w:styleId="OperatorTok" w:customStyle="1">
    <w:name w:val="OperatorTok"/>
    <w:qFormat/>
    <w:rPr>
      <w:color w:val="666666"/>
    </w:rPr>
  </w:style>
  <w:style w:type="character" w:styleId="BuiltInTok" w:customStyle="1">
    <w:name w:val="BuiltInTok"/>
    <w:qFormat/>
    <w:rPr/>
  </w:style>
  <w:style w:type="character" w:styleId="ExtensionTok" w:customStyle="1">
    <w:name w:val="ExtensionTok"/>
    <w:qFormat/>
    <w:rPr/>
  </w:style>
  <w:style w:type="character" w:styleId="PreprocessorTok" w:customStyle="1">
    <w:name w:val="PreprocessorTok"/>
    <w:qFormat/>
    <w:rPr>
      <w:color w:val="BC7A00"/>
    </w:rPr>
  </w:style>
  <w:style w:type="character" w:styleId="AttributeTok" w:customStyle="1">
    <w:name w:val="AttributeTok"/>
    <w:qFormat/>
    <w:rPr>
      <w:color w:val="7D9029"/>
    </w:rPr>
  </w:style>
  <w:style w:type="character" w:styleId="RegionMarkerTok" w:customStyle="1">
    <w:name w:val="RegionMarkerTok"/>
    <w:qFormat/>
    <w:rPr/>
  </w:style>
  <w:style w:type="character" w:styleId="InformationTok" w:customStyle="1">
    <w:name w:val="InformationTok"/>
    <w:qFormat/>
    <w:rPr>
      <w:b/>
      <w:i/>
      <w:color w:val="60A0B0"/>
    </w:rPr>
  </w:style>
  <w:style w:type="character" w:styleId="WarningTok" w:customStyle="1">
    <w:name w:val="WarningTok"/>
    <w:qFormat/>
    <w:rPr>
      <w:b/>
      <w:i/>
      <w:color w:val="60A0B0"/>
    </w:rPr>
  </w:style>
  <w:style w:type="character" w:styleId="AlertTok" w:customStyle="1">
    <w:name w:val="AlertTok"/>
    <w:qFormat/>
    <w:rPr>
      <w:b/>
      <w:color w:val="FF0000"/>
    </w:rPr>
  </w:style>
  <w:style w:type="character" w:styleId="ErrorTok" w:customStyle="1">
    <w:name w:val="ErrorTok"/>
    <w:qFormat/>
    <w:rPr>
      <w:b/>
      <w:color w:val="FF0000"/>
    </w:rPr>
  </w:style>
  <w:style w:type="character" w:styleId="NormalTok" w:customStyle="1">
    <w:name w:val="NormalTo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Georgia" w:hAnsi="Georgia" w:eastAsia="Lucida Sans Unicode" w:cs="Tahoma"/>
      <w:b/>
      <w:sz w:val="32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paragraph" w:styleId="Header">
    <w:name w:val="Header"/>
    <w:basedOn w:val="HeaderandFooter"/>
    <w:pPr>
      <w:suppressLineNumbers/>
      <w:tabs>
        <w:tab w:val="clear" w:pos="4819"/>
        <w:tab w:val="clear" w:pos="9638"/>
        <w:tab w:val="center" w:pos="4680" w:leader="none"/>
        <w:tab w:val="right" w:pos="9360" w:leader="none"/>
      </w:tabs>
    </w:pPr>
    <w:rPr/>
  </w:style>
  <w:style w:type="paragraph" w:styleId="SourceCode" w:customStyle="1">
    <w:name w:val="Source Code"/>
    <w:basedOn w:val="Normal"/>
    <w:link w:val="VerbatimChar"/>
    <w:qFormat/>
    <w:pPr>
      <w:suppressLineNumbers/>
      <w:spacing w:lineRule="auto" w:line="240"/>
    </w:pPr>
    <w:rPr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omHarrop/asw-flye-withpool" TargetMode="External"/><Relationship Id="rId3" Type="http://schemas.openxmlformats.org/officeDocument/2006/relationships/hyperlink" Target="https://github.com/TomHarrop/asw-gbs-genome-paper" TargetMode="External"/><Relationship Id="rId4" Type="http://schemas.openxmlformats.org/officeDocument/2006/relationships/hyperlink" Target="https://doi.org/10.1093/bioinformatics/bts480" TargetMode="External"/><Relationship Id="rId5" Type="http://schemas.openxmlformats.org/officeDocument/2006/relationships/hyperlink" Target="https://doi.org/10.1371/journal.pone.0177459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LibreOffice/6.3.4.2$Linux_X86_64 LibreOffice_project/30$Build-2</Application>
  <Pages>12</Pages>
  <Words>679</Words>
  <Characters>3996</Characters>
  <CharactersWithSpaces>4631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2020-03-03T20:25:27Z</dcterms:created>
  <dc:creator/>
  <dc:description/>
  <dc:language>en-AU</dc:language>
  <cp:lastModifiedBy/>
  <dcterms:modified xsi:type="dcterms:W3CDTF">2020-03-04T09:29:01Z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ref/ASW.bib</vt:lpwstr>
  </property>
  <property fmtid="{D5CDD505-2E9C-101B-9397-08002B2CF9AE}" pid="3" name="csl">
    <vt:lpwstr>ref/journal-of-applied-ecology.csl</vt:lpwstr>
  </property>
</Properties>
</file>