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tabs>
          <w:tab w:val="left" w:leader="none" w:pos="2595"/>
        </w:tabs>
        <w:spacing/>
        <w:ind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Samenwerkingsovereenkomst Project 5-6 Drones</w:t>
      </w:r>
      <w:r>
        <w:rPr>
          <w:sz w:val="32"/>
          <w:szCs w:val="32"/>
        </w:rPr>
      </w:r>
    </w:p>
    <w:tbl>
      <w:tblPr>
        <w:tblStyle w:val="700"/>
        <w:tblW w:w="0" w:type="auto"/>
        <w:tblBorders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>
        <w:trPr/>
        <w:tc>
          <w:tcPr>
            <w:tcBorders/>
            <w:tcW w:w="3020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 Nummer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Emailadress</w:t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Borders/>
            <w:tcW w:w="3020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Tom Heijmans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1079471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1079471@hr.nl</w:t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Borders/>
            <w:tcW w:w="3020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Fabio Wolthuis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1093379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1093379@hr.nl</w:t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Borders/>
            <w:tcW w:w="3020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Dennis </w:t>
            </w:r>
            <w:r>
              <w:rPr>
                <w:sz w:val="22"/>
                <w:szCs w:val="22"/>
              </w:rPr>
              <w:t xml:space="preserve">Zejnilović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Borders/>
            <w:tcW w:w="3020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 Haimed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3021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</w:tbl>
    <w:p>
      <w:pPr>
        <w:pBdr/>
        <w:tabs>
          <w:tab w:val="left" w:leader="none" w:pos="2595"/>
        </w:tabs>
        <w:spacing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Gezamelijke ambitie</w:t>
      </w:r>
      <w:r>
        <w:rPr>
          <w:sz w:val="22"/>
          <w:szCs w:val="22"/>
        </w:rPr>
        <w:t xml:space="preserve">:</w:t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Wie wilt met wat bezig zijn</w:t>
      </w:r>
      <w:r>
        <w:rPr>
          <w:sz w:val="22"/>
          <w:szCs w:val="22"/>
        </w:rPr>
        <w:t xml:space="preserve">:</w:t>
      </w:r>
      <w:r>
        <w:rPr>
          <w:sz w:val="22"/>
          <w:szCs w:val="22"/>
        </w:rPr>
      </w:r>
    </w:p>
    <w:tbl>
      <w:tblPr>
        <w:tblStyle w:val="700"/>
        <w:tblW w:w="0" w:type="auto"/>
        <w:tblBorders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>
        <w:trPr/>
        <w:tc>
          <w:tcPr>
            <w:tcBorders/>
            <w:tcW w:w="2265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Programmeren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2265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Ontwerpen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2266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Hardware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2266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Plannen</w:t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Borders/>
            <w:tcW w:w="2265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</w:t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</w:t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</w:t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2265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</w:t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</w:t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</w:t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2266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</w:t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</w:t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</w:t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2266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</w:t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</w:t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</w:t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</w:t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Borders/>
            <w:tcW w:w="2265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Document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2265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</w:t>
            </w:r>
            <w:r>
              <w:rPr>
                <w:sz w:val="22"/>
                <w:szCs w:val="22"/>
              </w:rPr>
              <w:t xml:space="preserve">ordinatie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2266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Onderzoeken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2266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Borders/>
            <w:tcW w:w="2265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</w:t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</w:t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</w:t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2265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</w:t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</w:t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</w:t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2266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</w:t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</w:t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</w:t>
            </w:r>
            <w:r>
              <w:rPr>
                <w:sz w:val="22"/>
                <w:szCs w:val="22"/>
              </w:rPr>
            </w:r>
          </w:p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2266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</w:tbl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Mogelijkheden:</w:t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Gevaren:</w:t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Afspraken om met de gevaren om te gaan:</w:t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br w:type="page" w:clear="all"/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Belangen bij het Project:</w:t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Mogelijkheden:</w:t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Afspraken over het verantwoordelijkheid nemen:</w:t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Plannen voor samenkomen</w:t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Motivatie’s:</w:t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Vertrouwen:</w:t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Changelog:</w:t>
      </w:r>
      <w:r>
        <w:rPr>
          <w:sz w:val="22"/>
          <w:szCs w:val="22"/>
        </w:rPr>
      </w:r>
    </w:p>
    <w:tbl>
      <w:tblPr>
        <w:tblStyle w:val="700"/>
        <w:tblW w:w="0" w:type="auto"/>
        <w:tblBorders/>
        <w:tblLook w:val="04A0" w:firstRow="1" w:lastRow="0" w:firstColumn="1" w:lastColumn="0" w:noHBand="0" w:noVBand="1"/>
      </w:tblPr>
      <w:tblGrid>
        <w:gridCol w:w="988"/>
        <w:gridCol w:w="6804"/>
        <w:gridCol w:w="1270"/>
      </w:tblGrid>
      <w:tr>
        <w:trPr/>
        <w:tc>
          <w:tcPr>
            <w:tcBorders/>
            <w:tcW w:w="988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Versie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Aanpassingen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270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Datum</w:t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Borders/>
            <w:tcW w:w="988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Samenwerkingsovereenkomst</w:t>
            </w:r>
            <w:r>
              <w:rPr>
                <w:sz w:val="22"/>
                <w:szCs w:val="22"/>
              </w:rPr>
              <w:t xml:space="preserve"> aangemaakt</w:t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270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12-</w:t>
            </w:r>
            <w:r>
              <w:rPr>
                <w:sz w:val="22"/>
                <w:szCs w:val="22"/>
              </w:rPr>
              <w:t xml:space="preserve">9-2025</w:t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Borders/>
            <w:tcW w:w="988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/>
            <w:tcW w:w="1270" w:type="dxa"/>
            <w:textDirection w:val="lrTb"/>
            <w:noWrap w:val="false"/>
          </w:tcPr>
          <w:p>
            <w:pPr>
              <w:pBdr/>
              <w:tabs>
                <w:tab w:val="left" w:leader="none" w:pos="2595"/>
              </w:tabs>
              <w:spacing/>
              <w:ind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</w:tbl>
    <w:p>
      <w:pPr>
        <w:pBdr/>
        <w:tabs>
          <w:tab w:val="left" w:leader="none" w:pos="2595"/>
        </w:tabs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sectPr>
      <w:footnotePr/>
      <w:endnotePr/>
      <w:type w:val="nextPage"/>
      <w:pgSz w:h="16838" w:orient="portrait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nl-NL" w:eastAsia="ko-KR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67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7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7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">
    <w:name w:val="Heading 1 Char"/>
    <w:basedOn w:val="677"/>
    <w:link w:val="6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677"/>
    <w:link w:val="6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677"/>
    <w:link w:val="6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677"/>
    <w:link w:val="67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677"/>
    <w:link w:val="6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677"/>
    <w:link w:val="67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677"/>
    <w:link w:val="67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677"/>
    <w:link w:val="67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677"/>
    <w:link w:val="67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677"/>
    <w:link w:val="68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677"/>
    <w:link w:val="69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4">
    <w:name w:val="Quote Char"/>
    <w:basedOn w:val="677"/>
    <w:link w:val="69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8">
    <w:name w:val="Intense Quote Char"/>
    <w:basedOn w:val="677"/>
    <w:link w:val="697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70">
    <w:name w:val="No Spacing"/>
    <w:basedOn w:val="667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67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677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677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67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67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7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677"/>
    <w:link w:val="176"/>
    <w:uiPriority w:val="99"/>
    <w:pPr>
      <w:pBdr/>
      <w:spacing/>
      <w:ind/>
    </w:pPr>
  </w:style>
  <w:style w:type="paragraph" w:styleId="178">
    <w:name w:val="Footer"/>
    <w:basedOn w:val="667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677"/>
    <w:link w:val="178"/>
    <w:uiPriority w:val="99"/>
    <w:pPr>
      <w:pBdr/>
      <w:spacing/>
      <w:ind/>
    </w:pPr>
  </w:style>
  <w:style w:type="paragraph" w:styleId="180">
    <w:name w:val="Caption"/>
    <w:basedOn w:val="667"/>
    <w:next w:val="66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7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677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677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7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677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677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67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67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7"/>
    <w:next w:val="667"/>
    <w:uiPriority w:val="39"/>
    <w:unhideWhenUsed/>
    <w:pPr>
      <w:pBdr/>
      <w:spacing w:after="100"/>
      <w:ind/>
    </w:pPr>
  </w:style>
  <w:style w:type="paragraph" w:styleId="190">
    <w:name w:val="toc 2"/>
    <w:basedOn w:val="667"/>
    <w:next w:val="667"/>
    <w:uiPriority w:val="39"/>
    <w:unhideWhenUsed/>
    <w:pPr>
      <w:pBdr/>
      <w:spacing w:after="100"/>
      <w:ind w:left="220"/>
    </w:pPr>
  </w:style>
  <w:style w:type="paragraph" w:styleId="191">
    <w:name w:val="toc 3"/>
    <w:basedOn w:val="667"/>
    <w:next w:val="667"/>
    <w:uiPriority w:val="39"/>
    <w:unhideWhenUsed/>
    <w:pPr>
      <w:pBdr/>
      <w:spacing w:after="100"/>
      <w:ind w:left="440"/>
    </w:pPr>
  </w:style>
  <w:style w:type="paragraph" w:styleId="192">
    <w:name w:val="toc 4"/>
    <w:basedOn w:val="667"/>
    <w:next w:val="667"/>
    <w:uiPriority w:val="39"/>
    <w:unhideWhenUsed/>
    <w:pPr>
      <w:pBdr/>
      <w:spacing w:after="100"/>
      <w:ind w:left="660"/>
    </w:pPr>
  </w:style>
  <w:style w:type="paragraph" w:styleId="193">
    <w:name w:val="toc 5"/>
    <w:basedOn w:val="667"/>
    <w:next w:val="667"/>
    <w:uiPriority w:val="39"/>
    <w:unhideWhenUsed/>
    <w:pPr>
      <w:pBdr/>
      <w:spacing w:after="100"/>
      <w:ind w:left="880"/>
    </w:pPr>
  </w:style>
  <w:style w:type="paragraph" w:styleId="194">
    <w:name w:val="toc 6"/>
    <w:basedOn w:val="667"/>
    <w:next w:val="667"/>
    <w:uiPriority w:val="39"/>
    <w:unhideWhenUsed/>
    <w:pPr>
      <w:pBdr/>
      <w:spacing w:after="100"/>
      <w:ind w:left="1100"/>
    </w:pPr>
  </w:style>
  <w:style w:type="paragraph" w:styleId="195">
    <w:name w:val="toc 7"/>
    <w:basedOn w:val="667"/>
    <w:next w:val="667"/>
    <w:uiPriority w:val="39"/>
    <w:unhideWhenUsed/>
    <w:pPr>
      <w:pBdr/>
      <w:spacing w:after="100"/>
      <w:ind w:left="1320"/>
    </w:pPr>
  </w:style>
  <w:style w:type="paragraph" w:styleId="196">
    <w:name w:val="toc 8"/>
    <w:basedOn w:val="667"/>
    <w:next w:val="667"/>
    <w:uiPriority w:val="39"/>
    <w:unhideWhenUsed/>
    <w:pPr>
      <w:pBdr/>
      <w:spacing w:after="100"/>
      <w:ind w:left="1540"/>
    </w:pPr>
  </w:style>
  <w:style w:type="paragraph" w:styleId="197">
    <w:name w:val="toc 9"/>
    <w:basedOn w:val="667"/>
    <w:next w:val="667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677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7"/>
    <w:next w:val="667"/>
    <w:uiPriority w:val="99"/>
    <w:unhideWhenUsed/>
    <w:pPr>
      <w:pBdr/>
      <w:spacing w:after="0" w:afterAutospacing="0"/>
      <w:ind/>
    </w:pPr>
  </w:style>
  <w:style w:type="paragraph" w:styleId="667" w:default="1">
    <w:name w:val="Normal"/>
    <w:qFormat/>
    <w:pPr>
      <w:pBdr/>
      <w:spacing/>
      <w:ind/>
    </w:pPr>
  </w:style>
  <w:style w:type="paragraph" w:styleId="668">
    <w:name w:val="Heading 1"/>
    <w:basedOn w:val="667"/>
    <w:next w:val="667"/>
    <w:link w:val="68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69">
    <w:name w:val="Heading 2"/>
    <w:basedOn w:val="667"/>
    <w:next w:val="667"/>
    <w:link w:val="68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70">
    <w:name w:val="Heading 3"/>
    <w:basedOn w:val="667"/>
    <w:next w:val="667"/>
    <w:link w:val="682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71">
    <w:name w:val="Heading 4"/>
    <w:basedOn w:val="667"/>
    <w:next w:val="667"/>
    <w:link w:val="683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72">
    <w:name w:val="Heading 5"/>
    <w:basedOn w:val="667"/>
    <w:next w:val="667"/>
    <w:link w:val="68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673">
    <w:name w:val="Heading 6"/>
    <w:basedOn w:val="667"/>
    <w:next w:val="667"/>
    <w:link w:val="685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74">
    <w:name w:val="Heading 7"/>
    <w:basedOn w:val="667"/>
    <w:next w:val="667"/>
    <w:link w:val="686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75">
    <w:name w:val="Heading 8"/>
    <w:basedOn w:val="667"/>
    <w:next w:val="667"/>
    <w:link w:val="687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76">
    <w:name w:val="Heading 9"/>
    <w:basedOn w:val="667"/>
    <w:next w:val="667"/>
    <w:link w:val="688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77" w:default="1">
    <w:name w:val="Default Paragraph Font"/>
    <w:uiPriority w:val="1"/>
    <w:unhideWhenUsed/>
    <w:pPr>
      <w:pBdr/>
      <w:spacing/>
      <w:ind/>
    </w:pPr>
  </w:style>
  <w:style w:type="table" w:styleId="67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9" w:default="1">
    <w:name w:val="No List"/>
    <w:uiPriority w:val="99"/>
    <w:semiHidden/>
    <w:unhideWhenUsed/>
    <w:pPr>
      <w:pBdr/>
      <w:spacing/>
      <w:ind/>
    </w:pPr>
  </w:style>
  <w:style w:type="character" w:styleId="680" w:customStyle="1">
    <w:name w:val="Kop 1 Char"/>
    <w:basedOn w:val="677"/>
    <w:link w:val="668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81" w:customStyle="1">
    <w:name w:val="Kop 2 Char"/>
    <w:basedOn w:val="677"/>
    <w:link w:val="66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82" w:customStyle="1">
    <w:name w:val="Kop 3 Char"/>
    <w:basedOn w:val="677"/>
    <w:link w:val="670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683" w:customStyle="1">
    <w:name w:val="Kop 4 Char"/>
    <w:basedOn w:val="677"/>
    <w:link w:val="671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684" w:customStyle="1">
    <w:name w:val="Kop 5 Char"/>
    <w:basedOn w:val="677"/>
    <w:link w:val="672"/>
    <w:uiPriority w:val="9"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685" w:customStyle="1">
    <w:name w:val="Kop 6 Char"/>
    <w:basedOn w:val="677"/>
    <w:link w:val="673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86" w:customStyle="1">
    <w:name w:val="Kop 7 Char"/>
    <w:basedOn w:val="677"/>
    <w:link w:val="674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87" w:customStyle="1">
    <w:name w:val="Kop 8 Char"/>
    <w:basedOn w:val="677"/>
    <w:link w:val="675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88" w:customStyle="1">
    <w:name w:val="Kop 9 Char"/>
    <w:basedOn w:val="677"/>
    <w:link w:val="676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89">
    <w:name w:val="Title"/>
    <w:basedOn w:val="667"/>
    <w:next w:val="667"/>
    <w:link w:val="690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90" w:customStyle="1">
    <w:name w:val="Titel Char"/>
    <w:basedOn w:val="677"/>
    <w:link w:val="689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91">
    <w:name w:val="Subtitle"/>
    <w:basedOn w:val="667"/>
    <w:next w:val="667"/>
    <w:link w:val="692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92" w:customStyle="1">
    <w:name w:val="Ondertitel Char"/>
    <w:basedOn w:val="677"/>
    <w:link w:val="691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93">
    <w:name w:val="Quote"/>
    <w:basedOn w:val="667"/>
    <w:next w:val="667"/>
    <w:link w:val="69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94" w:customStyle="1">
    <w:name w:val="Citaat Char"/>
    <w:basedOn w:val="677"/>
    <w:link w:val="69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95">
    <w:name w:val="List Paragraph"/>
    <w:basedOn w:val="667"/>
    <w:uiPriority w:val="34"/>
    <w:qFormat/>
    <w:pPr>
      <w:pBdr/>
      <w:spacing/>
      <w:ind w:left="720"/>
      <w:contextualSpacing w:val="true"/>
    </w:pPr>
  </w:style>
  <w:style w:type="character" w:styleId="696">
    <w:name w:val="Intense Emphasis"/>
    <w:basedOn w:val="67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697">
    <w:name w:val="Intense Quote"/>
    <w:basedOn w:val="667"/>
    <w:next w:val="667"/>
    <w:link w:val="69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698" w:customStyle="1">
    <w:name w:val="Duidelijk citaat Char"/>
    <w:basedOn w:val="677"/>
    <w:link w:val="69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99">
    <w:name w:val="Intense Reference"/>
    <w:basedOn w:val="67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table" w:styleId="700">
    <w:name w:val="Table Grid"/>
    <w:basedOn w:val="678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Heijmans</dc:creator>
  <cp:keywords/>
  <dc:description/>
  <cp:revision>16</cp:revision>
  <dcterms:created xsi:type="dcterms:W3CDTF">2025-09-12T08:25:00Z</dcterms:created>
  <dcterms:modified xsi:type="dcterms:W3CDTF">2025-09-12T09:35:32Z</dcterms:modified>
</cp:coreProperties>
</file>