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XauTrendLab</w:t>
      </w:r>
    </w:p>
    <w:p>
      <w:pPr>
        <w:jc w:val="left"/>
      </w:pPr>
      <w:r>
        <w:rPr>
          <w:b/>
          <w:color w:val="2C3E50"/>
          <w:sz w:val="38"/>
        </w:rPr>
        <w:t>Zone, Support/Resistance, Point-A &amp; Trade Lifecycle</w:t>
        <w:br/>
        <w:t>End-to-End Architecture Reference</w:t>
      </w:r>
    </w:p>
    <w:p>
      <w:r>
        <w:t>Production baseline: 10 September 2026</w:t>
      </w:r>
    </w:p>
    <w:p>
      <w:r>
        <w:t>Purpose: preserve the strategy contract, ownership rules, data flow, Point-A/DXY behavior, lifecycle transitions, execution boundaries, and validated production fixes so future debugging starts from a known architecture instead of rediscovering it.</w:t>
      </w:r>
    </w:p>
    <w:tbl>
      <w:tblPr>
        <w:tblStyle w:val="TableGrid"/>
        <w:tblW w:type="auto" w:w="0"/>
        <w:tblLook w:firstColumn="1" w:firstRow="1" w:lastColumn="0" w:lastRow="0" w:noHBand="0" w:noVBand="1" w:val="04A0"/>
      </w:tblPr>
      <w:tblGrid>
        <w:gridCol w:w="10166"/>
      </w:tblGrid>
      <w:tr>
        <w:tc>
          <w:tcPr>
            <w:tcW w:type="dxa" w:w="10166"/>
            <w:shd w:fill="E2F0D9"/>
          </w:tcPr>
          <w:p>
            <w:r/>
            <w:r>
              <w:rPr>
                <w:b/>
                <w:color w:val="1F4E79"/>
                <w:sz w:val="18"/>
              </w:rPr>
              <w:t>STATUS</w:t>
              <w:br/>
            </w:r>
            <w:r>
              <w:rPr>
                <w:sz w:val="17"/>
              </w:rPr>
              <w:t>This document records the production architecture and live validation reached on 10 Sep 2026. It distinguishes strategy invariants from implementation/schema quirks and from historical design notes that may not yet be enforced exactly.</w:t>
            </w:r>
          </w:p>
        </w:tc>
      </w:tr>
    </w:tbl>
    <w:p/>
    <w:p>
      <w:r>
        <w:t>Primary implementation areas: trend_sr.py -&gt; zone_entry_gate.py -&gt; opportunity compute -&gt; oppt_executor.py -&gt; MT5 agent/broker, with DXY H1/M15 Point-A inputs and Redis lifecycle state.</w:t>
      </w:r>
    </w:p>
    <w:p>
      <w:r>
        <w:t>Scope: H1 execution zones with H4 context/confirmation; all six production symbols: XAUUSD, EURUSD, GBPUSD, USDJPY, USDCAD, USDCHF.</w:t>
      </w:r>
    </w:p>
    <w:p>
      <w:r>
        <w:br w:type="page"/>
      </w:r>
    </w:p>
    <w:p>
      <w:pPr>
        <w:pStyle w:val="Heading1"/>
      </w:pPr>
      <w:r>
        <w:t>1. Executive Architecture Contract</w:t>
      </w:r>
    </w:p>
    <w:p>
      <w:r>
        <w:t>XTL is a deterministic zone-reversal state machine. Support/resistance discovery remains dynamic before a real zone touch. Once an execution zone is actually touched, the selected direction and zone geometry become frozen lifecycle state. Closed H1 candles confirm reversal; live price confirms continuation breakout; Point-A is the final pre-entry macro/structure gate; the executor owns broker/risk/order lifecycle.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D9EAF7"/>
          </w:tcPr>
          <w:p>
            <w:r/>
            <w:r>
              <w:rPr>
                <w:rFonts w:ascii="Aptos" w:hAnsi="Aptos"/>
                <w:b/>
                <w:sz w:val="16"/>
              </w:rPr>
              <w:t>Layer</w:t>
            </w:r>
          </w:p>
        </w:tc>
        <w:tc>
          <w:tcPr>
            <w:tcW w:type="dxa" w:w="4176"/>
            <w:vAlign w:val="center"/>
            <w:shd w:fill="D9EAF7"/>
          </w:tcPr>
          <w:p>
            <w:r/>
            <w:r>
              <w:rPr>
                <w:rFonts w:ascii="Aptos" w:hAnsi="Aptos"/>
                <w:b/>
                <w:sz w:val="16"/>
              </w:rPr>
              <w:t>Authority</w:t>
            </w:r>
          </w:p>
        </w:tc>
        <w:tc>
          <w:tcPr>
            <w:tcW w:type="dxa" w:w="4176"/>
            <w:vAlign w:val="center"/>
            <w:shd w:fill="D9EAF7"/>
          </w:tcPr>
          <w:p>
            <w:r/>
            <w:r>
              <w:rPr>
                <w:rFonts w:ascii="Aptos" w:hAnsi="Aptos"/>
                <w:b/>
                <w:sz w:val="16"/>
              </w:rPr>
              <w:t>Must not do</w:t>
            </w:r>
          </w:p>
        </w:tc>
      </w:tr>
      <w:tr>
        <w:tc>
          <w:tcPr>
            <w:tcW w:type="dxa" w:w="1800"/>
            <w:vAlign w:val="center"/>
          </w:tcPr>
          <w:p>
            <w:r/>
            <w:r>
              <w:rPr>
                <w:rFonts w:ascii="Aptos" w:hAnsi="Aptos"/>
                <w:b w:val="0"/>
                <w:sz w:val="15"/>
              </w:rPr>
              <w:t>SR discovery</w:t>
            </w:r>
          </w:p>
        </w:tc>
        <w:tc>
          <w:tcPr>
            <w:tcW w:type="dxa" w:w="4176"/>
            <w:vAlign w:val="center"/>
          </w:tcPr>
          <w:p>
            <w:r/>
            <w:r>
              <w:rPr>
                <w:rFonts w:ascii="Aptos" w:hAnsi="Aptos"/>
                <w:b w:val="0"/>
                <w:sz w:val="15"/>
              </w:rPr>
              <w:t>Build H1/H4 support/resistance inventory and scored/context zones.</w:t>
            </w:r>
          </w:p>
        </w:tc>
        <w:tc>
          <w:tcPr>
            <w:tcW w:type="dxa" w:w="4176"/>
            <w:vAlign w:val="center"/>
          </w:tcPr>
          <w:p>
            <w:r/>
            <w:r>
              <w:rPr>
                <w:rFonts w:ascii="Aptos" w:hAnsi="Aptos"/>
                <w:b w:val="0"/>
                <w:sz w:val="15"/>
              </w:rPr>
              <w:t>Must not directly place orders or rewrite an already frozen zone.</w:t>
            </w:r>
          </w:p>
        </w:tc>
      </w:tr>
      <w:tr>
        <w:tc>
          <w:tcPr>
            <w:tcW w:type="dxa" w:w="1800"/>
            <w:vAlign w:val="center"/>
          </w:tcPr>
          <w:p>
            <w:r/>
            <w:r>
              <w:rPr>
                <w:rFonts w:ascii="Aptos" w:hAnsi="Aptos"/>
                <w:b w:val="0"/>
                <w:sz w:val="15"/>
              </w:rPr>
              <w:t>Direction resolver</w:t>
            </w:r>
          </w:p>
        </w:tc>
        <w:tc>
          <w:tcPr>
            <w:tcW w:type="dxa" w:w="4176"/>
            <w:vAlign w:val="center"/>
          </w:tcPr>
          <w:p>
            <w:r/>
            <w:r>
              <w:rPr>
                <w:rFonts w:ascii="Aptos" w:hAnsi="Aptos"/>
                <w:b w:val="0"/>
                <w:sz w:val="15"/>
              </w:rPr>
              <w:t>Choose nearest actionable BUY support or SELL resistance using zone-band distance.</w:t>
            </w:r>
          </w:p>
        </w:tc>
        <w:tc>
          <w:tcPr>
            <w:tcW w:type="dxa" w:w="4176"/>
            <w:vAlign w:val="center"/>
          </w:tcPr>
          <w:p>
            <w:r/>
            <w:r>
              <w:rPr>
                <w:rFonts w:ascii="Aptos" w:hAnsi="Aptos"/>
                <w:b w:val="0"/>
                <w:sz w:val="15"/>
              </w:rPr>
              <w:t>Must not override a genuine post-touch frozen lifecycle.</w:t>
            </w:r>
          </w:p>
        </w:tc>
      </w:tr>
      <w:tr>
        <w:tc>
          <w:tcPr>
            <w:tcW w:type="dxa" w:w="1800"/>
            <w:vAlign w:val="center"/>
          </w:tcPr>
          <w:p>
            <w:r/>
            <w:r>
              <w:rPr>
                <w:rFonts w:ascii="Aptos" w:hAnsi="Aptos"/>
                <w:b w:val="0"/>
                <w:sz w:val="15"/>
              </w:rPr>
              <w:t>Touch/freeze</w:t>
            </w:r>
          </w:p>
        </w:tc>
        <w:tc>
          <w:tcPr>
            <w:tcW w:type="dxa" w:w="4176"/>
            <w:vAlign w:val="center"/>
          </w:tcPr>
          <w:p>
            <w:r/>
            <w:r>
              <w:rPr>
                <w:rFonts w:ascii="Aptos" w:hAnsi="Aptos"/>
                <w:b w:val="0"/>
                <w:sz w:val="15"/>
              </w:rPr>
              <w:t>Detect real interaction and persist zone_used + touch evidence.</w:t>
            </w:r>
          </w:p>
        </w:tc>
        <w:tc>
          <w:tcPr>
            <w:tcW w:type="dxa" w:w="4176"/>
            <w:vAlign w:val="center"/>
          </w:tcPr>
          <w:p>
            <w:r/>
            <w:r>
              <w:rPr>
                <w:rFonts w:ascii="Aptos" w:hAnsi="Aptos"/>
                <w:b w:val="0"/>
                <w:sz w:val="15"/>
              </w:rPr>
              <w:t>Must not keep moving zone_used with fresh SR.</w:t>
            </w:r>
          </w:p>
        </w:tc>
      </w:tr>
      <w:tr>
        <w:tc>
          <w:tcPr>
            <w:tcW w:type="dxa" w:w="1800"/>
            <w:vAlign w:val="center"/>
          </w:tcPr>
          <w:p>
            <w:r/>
            <w:r>
              <w:rPr>
                <w:rFonts w:ascii="Aptos" w:hAnsi="Aptos"/>
                <w:b w:val="0"/>
                <w:sz w:val="15"/>
              </w:rPr>
              <w:t>REV confirmation</w:t>
            </w:r>
          </w:p>
        </w:tc>
        <w:tc>
          <w:tcPr>
            <w:tcW w:type="dxa" w:w="4176"/>
            <w:vAlign w:val="center"/>
          </w:tcPr>
          <w:p>
            <w:r/>
            <w:r>
              <w:rPr>
                <w:rFonts w:ascii="Aptos" w:hAnsi="Aptos"/>
                <w:b w:val="0"/>
                <w:sz w:val="15"/>
              </w:rPr>
              <w:t>Use completed H1 candle reclaim of frozen zone.</w:t>
            </w:r>
          </w:p>
        </w:tc>
        <w:tc>
          <w:tcPr>
            <w:tcW w:type="dxa" w:w="4176"/>
            <w:vAlign w:val="center"/>
          </w:tcPr>
          <w:p>
            <w:r/>
            <w:r>
              <w:rPr>
                <w:rFonts w:ascii="Aptos" w:hAnsi="Aptos"/>
                <w:b w:val="0"/>
                <w:sz w:val="15"/>
              </w:rPr>
              <w:t>Must not use a running candle close.</w:t>
            </w:r>
          </w:p>
        </w:tc>
      </w:tr>
      <w:tr>
        <w:tc>
          <w:tcPr>
            <w:tcW w:type="dxa" w:w="1800"/>
            <w:vAlign w:val="center"/>
          </w:tcPr>
          <w:p>
            <w:r/>
            <w:r>
              <w:rPr>
                <w:rFonts w:ascii="Aptos" w:hAnsi="Aptos"/>
                <w:b w:val="0"/>
                <w:sz w:val="15"/>
              </w:rPr>
              <w:t>Entry trigger</w:t>
            </w:r>
          </w:p>
        </w:tc>
        <w:tc>
          <w:tcPr>
            <w:tcW w:type="dxa" w:w="4176"/>
            <w:vAlign w:val="center"/>
          </w:tcPr>
          <w:p>
            <w:r/>
            <w:r>
              <w:rPr>
                <w:rFonts w:ascii="Aptos" w:hAnsi="Aptos"/>
                <w:b w:val="0"/>
                <w:sz w:val="15"/>
              </w:rPr>
              <w:t>Use live price breakout of stored reversal-candle extreme.</w:t>
            </w:r>
          </w:p>
        </w:tc>
        <w:tc>
          <w:tcPr>
            <w:tcW w:type="dxa" w:w="4176"/>
            <w:vAlign w:val="center"/>
          </w:tcPr>
          <w:p>
            <w:r/>
            <w:r>
              <w:rPr>
                <w:rFonts w:ascii="Aptos" w:hAnsi="Aptos"/>
                <w:b w:val="0"/>
                <w:sz w:val="15"/>
              </w:rPr>
              <w:t>Must not enter merely because REV_OK exists.</w:t>
            </w:r>
          </w:p>
        </w:tc>
      </w:tr>
      <w:tr>
        <w:tc>
          <w:tcPr>
            <w:tcW w:type="dxa" w:w="1800"/>
            <w:vAlign w:val="center"/>
          </w:tcPr>
          <w:p>
            <w:r/>
            <w:r>
              <w:rPr>
                <w:rFonts w:ascii="Aptos" w:hAnsi="Aptos"/>
                <w:b w:val="0"/>
                <w:sz w:val="15"/>
              </w:rPr>
              <w:t>Point-A</w:t>
            </w:r>
          </w:p>
        </w:tc>
        <w:tc>
          <w:tcPr>
            <w:tcW w:type="dxa" w:w="4176"/>
            <w:vAlign w:val="center"/>
          </w:tcPr>
          <w:p>
            <w:r/>
            <w:r>
              <w:rPr>
                <w:rFonts w:ascii="Aptos" w:hAnsi="Aptos"/>
                <w:b w:val="0"/>
                <w:sz w:val="15"/>
              </w:rPr>
              <w:t>Final pre-entry DXY/structure health decision: PLACE, WAIT/HOLD, or terminal block/expire.</w:t>
            </w:r>
          </w:p>
        </w:tc>
        <w:tc>
          <w:tcPr>
            <w:tcW w:type="dxa" w:w="4176"/>
            <w:vAlign w:val="center"/>
          </w:tcPr>
          <w:p>
            <w:r/>
            <w:r>
              <w:rPr>
                <w:rFonts w:ascii="Aptos" w:hAnsi="Aptos"/>
                <w:b w:val="0"/>
                <w:sz w:val="15"/>
              </w:rPr>
              <w:t>Must not silently use synthetic DXY for canonical live Point-A.</w:t>
            </w:r>
          </w:p>
        </w:tc>
      </w:tr>
      <w:tr>
        <w:tc>
          <w:tcPr>
            <w:tcW w:type="dxa" w:w="1800"/>
            <w:vAlign w:val="center"/>
          </w:tcPr>
          <w:p>
            <w:r/>
            <w:r>
              <w:rPr>
                <w:rFonts w:ascii="Aptos" w:hAnsi="Aptos"/>
                <w:b w:val="0"/>
                <w:sz w:val="15"/>
              </w:rPr>
              <w:t>Executor</w:t>
            </w:r>
          </w:p>
        </w:tc>
        <w:tc>
          <w:tcPr>
            <w:tcW w:type="dxa" w:w="4176"/>
            <w:vAlign w:val="center"/>
          </w:tcPr>
          <w:p>
            <w:r/>
            <w:r>
              <w:rPr>
                <w:rFonts w:ascii="Aptos" w:hAnsi="Aptos"/>
                <w:b w:val="0"/>
                <w:sz w:val="15"/>
              </w:rPr>
              <w:t>Risk, duplicate/symbol guards, MT5 enqueue/ack, order/trade state, broker reconciliation.</w:t>
            </w:r>
          </w:p>
        </w:tc>
        <w:tc>
          <w:tcPr>
            <w:tcW w:type="dxa" w:w="4176"/>
            <w:vAlign w:val="center"/>
          </w:tcPr>
          <w:p>
            <w:r/>
            <w:r>
              <w:rPr>
                <w:rFonts w:ascii="Aptos" w:hAnsi="Aptos"/>
                <w:b w:val="0"/>
                <w:sz w:val="15"/>
              </w:rPr>
              <w:t>Must not invent a new zone or bypass frozen lifecycle.</w:t>
            </w:r>
          </w:p>
        </w:tc>
      </w:tr>
    </w:tbl>
    <w:p/>
    <w:p>
      <w:pPr>
        <w:pStyle w:val="CodeBlock"/>
      </w:pPr>
      <w:r>
        <w:t>Dynamic discovery -&gt; actionable zone -&gt; LIVE_TOUCH -&gt; frozen owner -&gt; REV_OK -&gt; live breakout -&gt; Point-A -&gt; ENTRY_READY -&gt; ORDER_PENDING -&gt; TRADE_ACTIVE -&gt; broker close/reconcile</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Core invariant</w:t>
              <w:br/>
            </w:r>
            <w:r>
              <w:rPr>
                <w:sz w:val="17"/>
              </w:rPr>
              <w:t>Before touch, discovery may change. After actual LIVE_TOUCH, fresh SR/discovery is informational; the frozen zone and direction own execution until a defined lifecycle release. Point-A PRICE_TOO_FAR re-arm is the deliberate special exception described later.</w:t>
            </w:r>
          </w:p>
        </w:tc>
      </w:tr>
    </w:tbl>
    <w:p/>
    <w:p>
      <w:pPr>
        <w:pStyle w:val="Heading1"/>
      </w:pPr>
      <w:r>
        <w:t>2. Support / Resistance Architecture</w:t>
      </w:r>
    </w:p>
    <w:p>
      <w:pPr>
        <w:pStyle w:val="Heading2"/>
      </w:pPr>
      <w:r>
        <w:t>2.1 SR inventory and timeframes</w:t>
      </w:r>
    </w:p>
    <w:p>
      <w:r>
        <w:t>trend_sr.py builds the structural inventory. H1 is the execution timeframe. H4 contributes higher-timeframe structure/confluence but is not allowed to make a distant zone actionable merely because it is structurally important.</w:t>
      </w:r>
    </w:p>
    <w:p>
      <w:pPr>
        <w:pStyle w:val="ListBullet"/>
      </w:pPr>
      <w:r>
        <w:t>H1 display zones are the primary immediate execution candidates.</w:t>
      </w:r>
    </w:p>
    <w:p>
      <w:pPr>
        <w:pStyle w:val="ListBullet"/>
      </w:pPr>
      <w:r>
        <w:t>BEST_SCORED_SR provides quality-ranked support/resistance alternatives.</w:t>
      </w:r>
    </w:p>
    <w:p>
      <w:pPr>
        <w:pStyle w:val="ListBullet"/>
      </w:pPr>
      <w:r>
        <w:t>H4 zones are context/confluence and can be displayed even when not actionable.</w:t>
      </w:r>
    </w:p>
    <w:p>
      <w:pPr>
        <w:pStyle w:val="ListBullet"/>
      </w:pPr>
      <w:r>
        <w:t>Distance is measured to the zone band, not just to its center level. Inside the band means actionable distance = 0.</w:t>
      </w:r>
    </w:p>
    <w:p>
      <w:pPr>
        <w:pStyle w:val="Heading2"/>
      </w:pPr>
      <w:r>
        <w:t>2.2 Zone source families</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D9EAF7"/>
          </w:tcPr>
          <w:p>
            <w:r/>
            <w:r>
              <w:rPr>
                <w:rFonts w:ascii="Aptos" w:hAnsi="Aptos"/>
                <w:b/>
                <w:sz w:val="16"/>
              </w:rPr>
              <w:t>Source / family</w:t>
            </w:r>
          </w:p>
        </w:tc>
        <w:tc>
          <w:tcPr>
            <w:tcW w:type="dxa" w:w="3528"/>
            <w:vAlign w:val="center"/>
            <w:shd w:fill="D9EAF7"/>
          </w:tcPr>
          <w:p>
            <w:r/>
            <w:r>
              <w:rPr>
                <w:rFonts w:ascii="Aptos" w:hAnsi="Aptos"/>
                <w:b/>
                <w:sz w:val="16"/>
              </w:rPr>
              <w:t>Role</w:t>
            </w:r>
          </w:p>
        </w:tc>
        <w:tc>
          <w:tcPr>
            <w:tcW w:type="dxa" w:w="4248"/>
            <w:vAlign w:val="center"/>
            <w:shd w:fill="D9EAF7"/>
          </w:tcPr>
          <w:p>
            <w:r/>
            <w:r>
              <w:rPr>
                <w:rFonts w:ascii="Aptos" w:hAnsi="Aptos"/>
                <w:b/>
                <w:sz w:val="16"/>
              </w:rPr>
              <w:t>Execution treatment</w:t>
            </w:r>
          </w:p>
        </w:tc>
      </w:tr>
      <w:tr>
        <w:tc>
          <w:tcPr>
            <w:tcW w:type="dxa" w:w="2376"/>
            <w:vAlign w:val="center"/>
          </w:tcPr>
          <w:p>
            <w:r/>
            <w:r>
              <w:rPr>
                <w:rFonts w:ascii="Aptos" w:hAnsi="Aptos"/>
                <w:b w:val="0"/>
                <w:sz w:val="15"/>
              </w:rPr>
              <w:t>RECENT_LOW_CLUSTER</w:t>
            </w:r>
          </w:p>
        </w:tc>
        <w:tc>
          <w:tcPr>
            <w:tcW w:type="dxa" w:w="3528"/>
            <w:vAlign w:val="center"/>
          </w:tcPr>
          <w:p>
            <w:r/>
            <w:r>
              <w:rPr>
                <w:rFonts w:ascii="Aptos" w:hAnsi="Aptos"/>
                <w:b w:val="0"/>
                <w:sz w:val="15"/>
              </w:rPr>
              <w:t>Recent support cluster.</w:t>
            </w:r>
          </w:p>
        </w:tc>
        <w:tc>
          <w:tcPr>
            <w:tcW w:type="dxa" w:w="4248"/>
            <w:vAlign w:val="center"/>
          </w:tcPr>
          <w:p>
            <w:r/>
            <w:r>
              <w:rPr>
                <w:rFonts w:ascii="Aptos" w:hAnsi="Aptos"/>
                <w:b w:val="0"/>
                <w:sz w:val="15"/>
              </w:rPr>
              <w:t>May directly form BUY execution geometry.</w:t>
            </w:r>
          </w:p>
        </w:tc>
      </w:tr>
      <w:tr>
        <w:tc>
          <w:tcPr>
            <w:tcW w:type="dxa" w:w="2376"/>
            <w:vAlign w:val="center"/>
          </w:tcPr>
          <w:p>
            <w:r/>
            <w:r>
              <w:rPr>
                <w:rFonts w:ascii="Aptos" w:hAnsi="Aptos"/>
                <w:b w:val="0"/>
                <w:sz w:val="15"/>
              </w:rPr>
              <w:t>RECENT_HIGH_CLUSTER</w:t>
            </w:r>
          </w:p>
        </w:tc>
        <w:tc>
          <w:tcPr>
            <w:tcW w:type="dxa" w:w="3528"/>
            <w:vAlign w:val="center"/>
          </w:tcPr>
          <w:p>
            <w:r/>
            <w:r>
              <w:rPr>
                <w:rFonts w:ascii="Aptos" w:hAnsi="Aptos"/>
                <w:b w:val="0"/>
                <w:sz w:val="15"/>
              </w:rPr>
              <w:t>Recent resistance cluster.</w:t>
            </w:r>
          </w:p>
        </w:tc>
        <w:tc>
          <w:tcPr>
            <w:tcW w:type="dxa" w:w="4248"/>
            <w:vAlign w:val="center"/>
          </w:tcPr>
          <w:p>
            <w:r/>
            <w:r>
              <w:rPr>
                <w:rFonts w:ascii="Aptos" w:hAnsi="Aptos"/>
                <w:b w:val="0"/>
                <w:sz w:val="15"/>
              </w:rPr>
              <w:t>May directly form SELL execution geometry.</w:t>
            </w:r>
          </w:p>
        </w:tc>
      </w:tr>
      <w:tr>
        <w:tc>
          <w:tcPr>
            <w:tcW w:type="dxa" w:w="2376"/>
            <w:vAlign w:val="center"/>
          </w:tcPr>
          <w:p>
            <w:r/>
            <w:r>
              <w:rPr>
                <w:rFonts w:ascii="Aptos" w:hAnsi="Aptos"/>
                <w:b w:val="0"/>
                <w:sz w:val="15"/>
              </w:rPr>
              <w:t>RAW_SWING / tight-IQR families</w:t>
            </w:r>
          </w:p>
        </w:tc>
        <w:tc>
          <w:tcPr>
            <w:tcW w:type="dxa" w:w="3528"/>
            <w:vAlign w:val="center"/>
          </w:tcPr>
          <w:p>
            <w:r/>
            <w:r>
              <w:rPr>
                <w:rFonts w:ascii="Aptos" w:hAnsi="Aptos"/>
                <w:b w:val="0"/>
                <w:sz w:val="15"/>
              </w:rPr>
              <w:t>Swing-derived clustered structure.</w:t>
            </w:r>
          </w:p>
        </w:tc>
        <w:tc>
          <w:tcPr>
            <w:tcW w:type="dxa" w:w="4248"/>
            <w:vAlign w:val="center"/>
          </w:tcPr>
          <w:p>
            <w:r/>
            <w:r>
              <w:rPr>
                <w:rFonts w:ascii="Aptos" w:hAnsi="Aptos"/>
                <w:b w:val="0"/>
                <w:sz w:val="15"/>
              </w:rPr>
              <w:t>Can contribute to display/actionable zone and merged evidence.</w:t>
            </w:r>
          </w:p>
        </w:tc>
      </w:tr>
      <w:tr>
        <w:tc>
          <w:tcPr>
            <w:tcW w:type="dxa" w:w="2376"/>
            <w:vAlign w:val="center"/>
          </w:tcPr>
          <w:p>
            <w:r/>
            <w:r>
              <w:rPr>
                <w:rFonts w:ascii="Aptos" w:hAnsi="Aptos"/>
                <w:b w:val="0"/>
                <w:sz w:val="15"/>
              </w:rPr>
              <w:t>REACTION_ZONE</w:t>
            </w:r>
          </w:p>
        </w:tc>
        <w:tc>
          <w:tcPr>
            <w:tcW w:type="dxa" w:w="3528"/>
            <w:vAlign w:val="center"/>
          </w:tcPr>
          <w:p>
            <w:r/>
            <w:r>
              <w:rPr>
                <w:rFonts w:ascii="Aptos" w:hAnsi="Aptos"/>
                <w:b w:val="0"/>
                <w:sz w:val="15"/>
              </w:rPr>
              <w:t>Reaction structure.</w:t>
            </w:r>
          </w:p>
        </w:tc>
        <w:tc>
          <w:tcPr>
            <w:tcW w:type="dxa" w:w="4248"/>
            <w:vAlign w:val="center"/>
          </w:tcPr>
          <w:p>
            <w:r/>
            <w:r>
              <w:rPr>
                <w:rFonts w:ascii="Aptos" w:hAnsi="Aptos"/>
                <w:b w:val="0"/>
                <w:sz w:val="15"/>
              </w:rPr>
              <w:t>Can be selected/frozen when actionable.</w:t>
            </w:r>
          </w:p>
        </w:tc>
      </w:tr>
      <w:tr>
        <w:tc>
          <w:tcPr>
            <w:tcW w:type="dxa" w:w="2376"/>
            <w:vAlign w:val="center"/>
          </w:tcPr>
          <w:p>
            <w:r/>
            <w:r>
              <w:rPr>
                <w:rFonts w:ascii="Aptos" w:hAnsi="Aptos"/>
                <w:b w:val="0"/>
                <w:sz w:val="15"/>
              </w:rPr>
              <w:t>BASE_IMPULSE</w:t>
            </w:r>
          </w:p>
        </w:tc>
        <w:tc>
          <w:tcPr>
            <w:tcW w:type="dxa" w:w="3528"/>
            <w:vAlign w:val="center"/>
          </w:tcPr>
          <w:p>
            <w:r/>
            <w:r>
              <w:rPr>
                <w:rFonts w:ascii="Aptos" w:hAnsi="Aptos"/>
                <w:b w:val="0"/>
                <w:sz w:val="15"/>
              </w:rPr>
              <w:t>Broad structural demand/supply.</w:t>
            </w:r>
          </w:p>
        </w:tc>
        <w:tc>
          <w:tcPr>
            <w:tcW w:type="dxa" w:w="4248"/>
            <w:vAlign w:val="center"/>
          </w:tcPr>
          <w:p>
            <w:r/>
            <w:r>
              <w:rPr>
                <w:rFonts w:ascii="Aptos" w:hAnsi="Aptos"/>
                <w:b w:val="0"/>
                <w:sz w:val="15"/>
              </w:rPr>
              <w:t>Valid context; broad geometry is proximally sliced before direct execution use.</w:t>
            </w:r>
          </w:p>
        </w:tc>
      </w:tr>
      <w:tr>
        <w:tc>
          <w:tcPr>
            <w:tcW w:type="dxa" w:w="2376"/>
            <w:vAlign w:val="center"/>
          </w:tcPr>
          <w:p>
            <w:r/>
            <w:r>
              <w:rPr>
                <w:rFonts w:ascii="Aptos" w:hAnsi="Aptos"/>
                <w:b w:val="0"/>
                <w:sz w:val="15"/>
              </w:rPr>
              <w:t>STRUCTURE_ORIGIN</w:t>
            </w:r>
          </w:p>
        </w:tc>
        <w:tc>
          <w:tcPr>
            <w:tcW w:type="dxa" w:w="3528"/>
            <w:vAlign w:val="center"/>
          </w:tcPr>
          <w:p>
            <w:r/>
            <w:r>
              <w:rPr>
                <w:rFonts w:ascii="Aptos" w:hAnsi="Aptos"/>
                <w:b w:val="0"/>
                <w:sz w:val="15"/>
              </w:rPr>
              <w:t>Broad structural origin.</w:t>
            </w:r>
          </w:p>
        </w:tc>
        <w:tc>
          <w:tcPr>
            <w:tcW w:type="dxa" w:w="4248"/>
            <w:vAlign w:val="center"/>
          </w:tcPr>
          <w:p>
            <w:r/>
            <w:r>
              <w:rPr>
                <w:rFonts w:ascii="Aptos" w:hAnsi="Aptos"/>
                <w:b w:val="0"/>
                <w:sz w:val="15"/>
              </w:rPr>
              <w:t>Contextual structure; broad band must not be used raw as an oversized execution zone.</w:t>
            </w:r>
          </w:p>
        </w:tc>
      </w:tr>
      <w:tr>
        <w:tc>
          <w:tcPr>
            <w:tcW w:type="dxa" w:w="2376"/>
            <w:vAlign w:val="center"/>
          </w:tcPr>
          <w:p>
            <w:r/>
            <w:r>
              <w:rPr>
                <w:rFonts w:ascii="Aptos" w:hAnsi="Aptos"/>
                <w:b w:val="0"/>
                <w:sz w:val="15"/>
              </w:rPr>
              <w:t>CURRENT_STRUCTURE_LOW/HIGH</w:t>
            </w:r>
          </w:p>
        </w:tc>
        <w:tc>
          <w:tcPr>
            <w:tcW w:type="dxa" w:w="3528"/>
            <w:vAlign w:val="center"/>
          </w:tcPr>
          <w:p>
            <w:r/>
            <w:r>
              <w:rPr>
                <w:rFonts w:ascii="Aptos" w:hAnsi="Aptos"/>
                <w:b w:val="0"/>
                <w:sz w:val="15"/>
              </w:rPr>
              <w:t>Current structure boundary.</w:t>
            </w:r>
          </w:p>
        </w:tc>
        <w:tc>
          <w:tcPr>
            <w:tcW w:type="dxa" w:w="4248"/>
            <w:vAlign w:val="center"/>
          </w:tcPr>
          <w:p>
            <w:r/>
            <w:r>
              <w:rPr>
                <w:rFonts w:ascii="Aptos" w:hAnsi="Aptos"/>
                <w:b w:val="0"/>
                <w:sz w:val="15"/>
              </w:rPr>
              <w:t>Width floor corrected so the intended minimum is total ~10 pips rather than accidental ~20 pips.</w:t>
            </w:r>
          </w:p>
        </w:tc>
      </w:tr>
    </w:tbl>
    <w:p/>
    <w:p>
      <w:pPr>
        <w:pStyle w:val="Heading2"/>
      </w:pPr>
      <w:r>
        <w:t>2.3 Cluster hardening and execution geometry</w:t>
      </w:r>
    </w:p>
    <w:p>
      <w:r>
        <w:t>Recent clusters were hardened to prevent chain-merging from producing overly broad H1 execution zones. The recent-cluster path uses tighter neighbor/span/band constraints; broad structural sources remain available as context but are normalized into proximal execution geometry.</w:t>
      </w:r>
    </w:p>
    <w:p>
      <w:pPr>
        <w:pStyle w:val="ListBullet"/>
      </w:pPr>
      <w:r>
        <w:t>Recent cluster neighbor tolerance: approximately 0.35 ATR.</w:t>
      </w:r>
    </w:p>
    <w:p>
      <w:pPr>
        <w:pStyle w:val="ListBullet"/>
      </w:pPr>
      <w:r>
        <w:t>Recent cluster maximum span: approximately 0.60 ATR.</w:t>
      </w:r>
    </w:p>
    <w:p>
      <w:pPr>
        <w:pStyle w:val="ListBullet"/>
      </w:pPr>
      <w:r>
        <w:t>Recent cluster maximum band width: approximately 0.60 ATR.</w:t>
      </w:r>
    </w:p>
    <w:p>
      <w:pPr>
        <w:pStyle w:val="ListBullet"/>
      </w:pPr>
      <w:r>
        <w:t>Broad structural execution slice cap: total width max(0.40 ATR, 10 pips).</w:t>
      </w:r>
    </w:p>
    <w:p>
      <w:pPr>
        <w:pStyle w:val="ListBullet"/>
      </w:pPr>
      <w:r>
        <w:t>BUY/support proximal slice anchors at the zone high; SELL/resistance proximal slice anchors at the zone low.</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Do not confuse structure with execution geometry</w:t>
              <w:br/>
            </w:r>
            <w:r>
              <w:rPr>
                <w:sz w:val="17"/>
              </w:rPr>
              <w:t>A wide H4 BASE_IMPULSE or STRUCTURE_ORIGIN region can remain valid structural evidence while only its proximal, normalized portion is eligible as the immediate execution band.</w:t>
            </w:r>
          </w:p>
        </w:tc>
      </w:tr>
    </w:tbl>
    <w:p/>
    <w:p>
      <w:pPr>
        <w:pStyle w:val="Heading1"/>
      </w:pPr>
      <w:r>
        <w:t>3. Direction Resolution and Actionability</w:t>
      </w:r>
    </w:p>
    <w:p>
      <w:r>
        <w:t>Fresh direction is price/zone driven, not a forecast label. The resolver compares actionable support and resistance candidates by distance to their bands.</w:t>
      </w:r>
    </w:p>
    <w:p>
      <w:pPr>
        <w:pStyle w:val="CodeBlock"/>
      </w:pPr>
      <w:r>
        <w:t>BUY  = nearest actionable support band</w:t>
        <w:br/>
        <w:t>SELL = nearest actionable resistance band</w:t>
        <w:br/>
        <w:t>WATCHING = no actionable zone, or unresolved compression/tie</w:t>
      </w:r>
    </w:p>
    <w:p>
      <w:pPr>
        <w:pStyle w:val="ListBullet"/>
      </w:pPr>
      <w:r>
        <w:t>H1 display candidates and BEST_SCORED_SR candidates can both enter the actionable candidate set.</w:t>
      </w:r>
    </w:p>
    <w:p>
      <w:pPr>
        <w:pStyle w:val="ListBullet"/>
      </w:pPr>
      <w:r>
        <w:t>Actionable distance is zero while price is inside the candidate band.</w:t>
      </w:r>
    </w:p>
    <w:p>
      <w:pPr>
        <w:pStyle w:val="ListBullet"/>
      </w:pPr>
      <w:r>
        <w:t>If nearest BUY and SELL both have distance 0, the compression resolver returns WATCHING instead of taking an arbitrary BUY-before-SELL tie.</w:t>
      </w:r>
    </w:p>
    <w:p>
      <w:pPr>
        <w:pStyle w:val="ListBullet"/>
      </w:pPr>
      <w:r>
        <w:t>Fresh direction is authoritative only before a protected lifecycle owner exists.</w:t>
      </w:r>
    </w:p>
    <w:p>
      <w:r>
        <w:t>The direction resolver may continue calculating new candidates after freeze for analytics/UI context, but those calculations must not mutate zone_used or replace the frozen execution owner.</w:t>
      </w:r>
    </w:p>
    <w:p>
      <w:pPr>
        <w:pStyle w:val="Heading1"/>
      </w:pPr>
      <w:r>
        <w:t>4. Touch, Freeze and the WATCH / REV_WATCH Schema</w:t>
      </w:r>
    </w:p>
    <w:p>
      <w:r>
        <w:t>A real execution-zone interaction freezes the setup. The important implementation detail is that current Redis may persist a freshly touched setup with state='WATCH' even while gate semantics present it as REV_WATCH. Therefore ownership cannot rely on the state string alone.</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D9EAF7"/>
          </w:tcPr>
          <w:p>
            <w:r/>
            <w:r>
              <w:rPr>
                <w:rFonts w:ascii="Aptos" w:hAnsi="Aptos"/>
                <w:b/>
                <w:sz w:val="16"/>
              </w:rPr>
              <w:t>Evidence</w:t>
            </w:r>
          </w:p>
        </w:tc>
        <w:tc>
          <w:tcPr>
            <w:tcW w:type="dxa" w:w="7056"/>
            <w:vAlign w:val="center"/>
            <w:shd w:fill="D9EAF7"/>
          </w:tcPr>
          <w:p>
            <w:r/>
            <w:r>
              <w:rPr>
                <w:rFonts w:ascii="Aptos" w:hAnsi="Aptos"/>
                <w:b/>
                <w:sz w:val="16"/>
              </w:rPr>
              <w:t>Meaning</w:t>
            </w:r>
          </w:p>
        </w:tc>
      </w:tr>
      <w:tr>
        <w:tc>
          <w:tcPr>
            <w:tcW w:type="dxa" w:w="3024"/>
            <w:vAlign w:val="center"/>
          </w:tcPr>
          <w:p>
            <w:r/>
            <w:r>
              <w:rPr>
                <w:rFonts w:ascii="Aptos" w:hAnsi="Aptos"/>
                <w:b w:val="0"/>
                <w:sz w:val="15"/>
              </w:rPr>
              <w:t>zone_used is an object</w:t>
            </w:r>
          </w:p>
        </w:tc>
        <w:tc>
          <w:tcPr>
            <w:tcW w:type="dxa" w:w="7056"/>
            <w:vAlign w:val="center"/>
          </w:tcPr>
          <w:p>
            <w:r/>
            <w:r>
              <w:rPr>
                <w:rFonts w:ascii="Aptos" w:hAnsi="Aptos"/>
                <w:b w:val="0"/>
                <w:sz w:val="15"/>
              </w:rPr>
              <w:t>Exact frozen execution geometry exists.</w:t>
            </w:r>
          </w:p>
        </w:tc>
      </w:tr>
      <w:tr>
        <w:tc>
          <w:tcPr>
            <w:tcW w:type="dxa" w:w="3024"/>
            <w:vAlign w:val="center"/>
          </w:tcPr>
          <w:p>
            <w:r/>
            <w:r>
              <w:rPr>
                <w:rFonts w:ascii="Aptos" w:hAnsi="Aptos"/>
                <w:b w:val="0"/>
                <w:sz w:val="15"/>
              </w:rPr>
              <w:t>touch_open_ms &gt; 0</w:t>
            </w:r>
          </w:p>
        </w:tc>
        <w:tc>
          <w:tcPr>
            <w:tcW w:type="dxa" w:w="7056"/>
            <w:vAlign w:val="center"/>
          </w:tcPr>
          <w:p>
            <w:r/>
            <w:r>
              <w:rPr>
                <w:rFonts w:ascii="Aptos" w:hAnsi="Aptos"/>
                <w:b w:val="0"/>
                <w:sz w:val="15"/>
              </w:rPr>
              <w:t>Touch candle/open identity is persisted.</w:t>
            </w:r>
          </w:p>
        </w:tc>
      </w:tr>
      <w:tr>
        <w:tc>
          <w:tcPr>
            <w:tcW w:type="dxa" w:w="3024"/>
            <w:vAlign w:val="center"/>
          </w:tcPr>
          <w:p>
            <w:r/>
            <w:r>
              <w:rPr>
                <w:rFonts w:ascii="Aptos" w:hAnsi="Aptos"/>
                <w:b w:val="0"/>
                <w:sz w:val="15"/>
              </w:rPr>
              <w:t>touch_close_ms &gt; 0</w:t>
            </w:r>
          </w:p>
        </w:tc>
        <w:tc>
          <w:tcPr>
            <w:tcW w:type="dxa" w:w="7056"/>
            <w:vAlign w:val="center"/>
          </w:tcPr>
          <w:p>
            <w:r/>
            <w:r>
              <w:rPr>
                <w:rFonts w:ascii="Aptos" w:hAnsi="Aptos"/>
                <w:b w:val="0"/>
                <w:sz w:val="15"/>
              </w:rPr>
              <w:t>Touch completion boundary is persisted.</w:t>
            </w:r>
          </w:p>
        </w:tc>
      </w:tr>
      <w:tr>
        <w:tc>
          <w:tcPr>
            <w:tcW w:type="dxa" w:w="3024"/>
            <w:vAlign w:val="center"/>
          </w:tcPr>
          <w:p>
            <w:r/>
            <w:r>
              <w:rPr>
                <w:rFonts w:ascii="Aptos" w:hAnsi="Aptos"/>
                <w:b w:val="0"/>
                <w:sz w:val="15"/>
              </w:rPr>
              <w:t>touch_source = LIVE_TOUCH</w:t>
            </w:r>
          </w:p>
        </w:tc>
        <w:tc>
          <w:tcPr>
            <w:tcW w:type="dxa" w:w="7056"/>
            <w:vAlign w:val="center"/>
          </w:tcPr>
          <w:p>
            <w:r/>
            <w:r>
              <w:rPr>
                <w:rFonts w:ascii="Aptos" w:hAnsi="Aptos"/>
                <w:b w:val="0"/>
                <w:sz w:val="15"/>
              </w:rPr>
              <w:t>The watch was created from actual live zone interaction.</w:t>
            </w:r>
          </w:p>
        </w:tc>
      </w:tr>
      <w:tr>
        <w:tc>
          <w:tcPr>
            <w:tcW w:type="dxa" w:w="3024"/>
            <w:vAlign w:val="center"/>
          </w:tcPr>
          <w:p>
            <w:r/>
            <w:r>
              <w:rPr>
                <w:rFonts w:ascii="Aptos" w:hAnsi="Aptos"/>
                <w:b w:val="0"/>
                <w:sz w:val="15"/>
              </w:rPr>
              <w:t>Gate text REV_WATCH | FZ ...</w:t>
            </w:r>
          </w:p>
        </w:tc>
        <w:tc>
          <w:tcPr>
            <w:tcW w:type="dxa" w:w="7056"/>
            <w:vAlign w:val="center"/>
          </w:tcPr>
          <w:p>
            <w:r/>
            <w:r>
              <w:rPr>
                <w:rFonts w:ascii="Aptos" w:hAnsi="Aptos"/>
                <w:b w:val="0"/>
                <w:sz w:val="15"/>
              </w:rPr>
              <w:t>Presentation semantics: frozen zone waiting for reclaim.</w:t>
            </w:r>
          </w:p>
        </w:tc>
      </w:tr>
      <w:tr>
        <w:tc>
          <w:tcPr>
            <w:tcW w:type="dxa" w:w="3024"/>
            <w:vAlign w:val="center"/>
          </w:tcPr>
          <w:p>
            <w:r/>
            <w:r>
              <w:rPr>
                <w:rFonts w:ascii="Aptos" w:hAnsi="Aptos"/>
                <w:b w:val="0"/>
                <w:sz w:val="15"/>
              </w:rPr>
              <w:t>Redis state = WATCH</w:t>
            </w:r>
          </w:p>
        </w:tc>
        <w:tc>
          <w:tcPr>
            <w:tcW w:type="dxa" w:w="7056"/>
            <w:vAlign w:val="center"/>
          </w:tcPr>
          <w:p>
            <w:r/>
            <w:r>
              <w:rPr>
                <w:rFonts w:ascii="Aptos" w:hAnsi="Aptos"/>
                <w:b w:val="0"/>
                <w:sz w:val="15"/>
              </w:rPr>
              <w:t>Current schema quirk; does not mean the setup is pre-touch when touch evidence exists.</w:t>
            </w:r>
          </w:p>
        </w:tc>
      </w:tr>
    </w:tbl>
    <w:p/>
    <w:p>
      <w:pPr>
        <w:pStyle w:val="CodeBlock"/>
      </w:pPr>
      <w:r>
        <w:t>_is_touch_frozen_watch(w) := state in {WATCH, REV_WATCH} AND zone_used exists AND (touch_open_ms&gt;0 OR touch_close_ms&gt;0 OR touch_source=='LIVE_TOUCH')</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Single source of truth</w:t>
              <w:br/>
            </w:r>
            <w:r>
              <w:rPr>
                <w:sz w:val="17"/>
              </w:rPr>
              <w:t>After a genuine touch, zone_used - not the newest fresh SR candidate - is the execution source of truth for reversal confirmation, invalidation, entry context, UI execution state, and downstream order lifecycle.</w:t>
            </w:r>
          </w:p>
        </w:tc>
      </w:tr>
    </w:tbl>
    <w:p/>
    <w:p>
      <w:pPr>
        <w:pStyle w:val="Heading1"/>
      </w:pPr>
      <w:r>
        <w:t>5. Reversal Confirmation (RC)</w:t>
      </w:r>
    </w:p>
    <w:p>
      <w:r>
        <w:t>Reversal confirmation is candle-close based. A running candle must never create REV_OK.</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D9EAF7"/>
          </w:tcPr>
          <w:p>
            <w:r/>
            <w:r>
              <w:rPr>
                <w:rFonts w:ascii="Aptos" w:hAnsi="Aptos"/>
                <w:b/>
                <w:sz w:val="16"/>
              </w:rPr>
              <w:t>Direction</w:t>
            </w:r>
          </w:p>
        </w:tc>
        <w:tc>
          <w:tcPr>
            <w:tcW w:type="dxa" w:w="4608"/>
            <w:vAlign w:val="center"/>
            <w:shd w:fill="D9EAF7"/>
          </w:tcPr>
          <w:p>
            <w:r/>
            <w:r>
              <w:rPr>
                <w:rFonts w:ascii="Aptos" w:hAnsi="Aptos"/>
                <w:b/>
                <w:sz w:val="16"/>
              </w:rPr>
              <w:t>Frozen-zone reclaim condition</w:t>
            </w:r>
          </w:p>
        </w:tc>
        <w:tc>
          <w:tcPr>
            <w:tcW w:type="dxa" w:w="4320"/>
            <w:vAlign w:val="center"/>
            <w:shd w:fill="D9EAF7"/>
          </w:tcPr>
          <w:p>
            <w:r/>
            <w:r>
              <w:rPr>
                <w:rFonts w:ascii="Aptos" w:hAnsi="Aptos"/>
                <w:b/>
                <w:sz w:val="16"/>
              </w:rPr>
              <w:t>Stored trigger</w:t>
            </w:r>
          </w:p>
        </w:tc>
      </w:tr>
      <w:tr>
        <w:tc>
          <w:tcPr>
            <w:tcW w:type="dxa" w:w="1440"/>
            <w:vAlign w:val="center"/>
          </w:tcPr>
          <w:p>
            <w:r/>
            <w:r>
              <w:rPr>
                <w:rFonts w:ascii="Aptos" w:hAnsi="Aptos"/>
                <w:b w:val="0"/>
                <w:sz w:val="15"/>
              </w:rPr>
              <w:t>BUY</w:t>
            </w:r>
          </w:p>
        </w:tc>
        <w:tc>
          <w:tcPr>
            <w:tcW w:type="dxa" w:w="4608"/>
            <w:vAlign w:val="center"/>
          </w:tcPr>
          <w:p>
            <w:r/>
            <w:r>
              <w:rPr>
                <w:rFonts w:ascii="Aptos" w:hAnsi="Aptos"/>
                <w:b w:val="0"/>
                <w:sz w:val="15"/>
              </w:rPr>
              <w:t>Completed H1 candle closes above frozen_zone.high.</w:t>
            </w:r>
          </w:p>
        </w:tc>
        <w:tc>
          <w:tcPr>
            <w:tcW w:type="dxa" w:w="4320"/>
            <w:vAlign w:val="center"/>
          </w:tcPr>
          <w:p>
            <w:r/>
            <w:r>
              <w:rPr>
                <w:rFonts w:ascii="Aptos" w:hAnsi="Aptos"/>
                <w:b w:val="0"/>
                <w:sz w:val="15"/>
              </w:rPr>
              <w:t>Reversal candle high becomes live breakout entry_above.</w:t>
            </w:r>
          </w:p>
        </w:tc>
      </w:tr>
      <w:tr>
        <w:tc>
          <w:tcPr>
            <w:tcW w:type="dxa" w:w="1440"/>
            <w:vAlign w:val="center"/>
          </w:tcPr>
          <w:p>
            <w:r/>
            <w:r>
              <w:rPr>
                <w:rFonts w:ascii="Aptos" w:hAnsi="Aptos"/>
                <w:b w:val="0"/>
                <w:sz w:val="15"/>
              </w:rPr>
              <w:t>SELL</w:t>
            </w:r>
          </w:p>
        </w:tc>
        <w:tc>
          <w:tcPr>
            <w:tcW w:type="dxa" w:w="4608"/>
            <w:vAlign w:val="center"/>
          </w:tcPr>
          <w:p>
            <w:r/>
            <w:r>
              <w:rPr>
                <w:rFonts w:ascii="Aptos" w:hAnsi="Aptos"/>
                <w:b w:val="0"/>
                <w:sz w:val="15"/>
              </w:rPr>
              <w:t>Completed H1 candle closes below frozen_zone.low.</w:t>
            </w:r>
          </w:p>
        </w:tc>
        <w:tc>
          <w:tcPr>
            <w:tcW w:type="dxa" w:w="4320"/>
            <w:vAlign w:val="center"/>
          </w:tcPr>
          <w:p>
            <w:r/>
            <w:r>
              <w:rPr>
                <w:rFonts w:ascii="Aptos" w:hAnsi="Aptos"/>
                <w:b w:val="0"/>
                <w:sz w:val="15"/>
              </w:rPr>
              <w:t>Reversal candle low becomes live breakout entry_below.</w:t>
            </w:r>
          </w:p>
        </w:tc>
      </w:tr>
    </w:tbl>
    <w:p/>
    <w:p>
      <w:pPr>
        <w:pStyle w:val="ListBullet"/>
      </w:pPr>
      <w:r>
        <w:t>The RC candle must be a completed broker-aligned H1 bar.</w:t>
      </w:r>
    </w:p>
    <w:p>
      <w:pPr>
        <w:pStyle w:val="ListBullet"/>
      </w:pPr>
      <w:r>
        <w:t>The RC scanner works against zone_used and touch timing boundaries.</w:t>
      </w:r>
    </w:p>
    <w:p>
      <w:pPr>
        <w:pStyle w:val="ListBullet"/>
      </w:pPr>
      <w:r>
        <w:t>P1 refresh scans completed bars after the old RC reference and can select the latest valid completed crossing/reclaim bar.</w:t>
      </w:r>
    </w:p>
    <w:p>
      <w:pPr>
        <w:pStyle w:val="ListBullet"/>
      </w:pPr>
      <w:r>
        <w:t>If an RC timestamp is in the future relative to the latest completed broker candle, RC is rolled back rather than trusted.</w:t>
      </w:r>
    </w:p>
    <w:p>
      <w:r>
        <w:t>After REV_OK, the reversal candle OHLC/timestamp and its high/low are locked. The gate may display REV_LOCKED/RC_LOCKED while Redis lifecycle remains REV_OK.</w:t>
      </w:r>
    </w:p>
    <w:p>
      <w:pPr>
        <w:pStyle w:val="Heading1"/>
      </w:pPr>
      <w:r>
        <w:t>6. Live Breakout Entry Trigger</w:t>
      </w:r>
    </w:p>
    <w:p>
      <w:r>
        <w:t>REV_OK does not itself place the trade. Production breakout mode requires live continuation beyond the reversal candle extreme.</w:t>
      </w:r>
    </w:p>
    <w:p>
      <w:pPr>
        <w:pStyle w:val="CodeBlock"/>
      </w:pPr>
      <w:r>
        <w:t>BUY:  live_price &gt; reversal_candle.high</w:t>
        <w:br/>
        <w:t>SELL: live_price &lt; reversal_candle.low</w:t>
      </w:r>
    </w:p>
    <w:p>
      <w:r>
        <w:t>When the live breakout occurs, the setup becomes eligible for final Point-A and execution processing. This separation prevents entering immediately on a reclaim candle without continuation.</w:t>
      </w:r>
    </w:p>
    <w:p>
      <w:pPr>
        <w:pStyle w:val="Heading1"/>
      </w:pPr>
      <w:r>
        <w:t>7. Point-A: Final Pre-Entry Gate</w:t>
      </w:r>
    </w:p>
    <w:p>
      <w:r>
        <w:t>Point-A is the final pre-entry decision layer. It evaluates whether the already-confirmed symbol setup should PLACE now, WAIT/HOLD for macro/structure clarity, or terminate/expire under a hard Point-A condition. It does not select the original symbol zone.</w:t>
      </w:r>
    </w:p>
    <w:p>
      <w:pPr>
        <w:pStyle w:val="Heading2"/>
      </w:pPr>
      <w:r>
        <w:t>7.1 Canonical DXY source contract</w:t>
      </w:r>
    </w:p>
    <w:p>
      <w:pPr>
        <w:pStyle w:val="ListBullet"/>
      </w:pPr>
      <w:r>
        <w:t>Canonical live Point-A uses REAL_DXY.</w:t>
      </w:r>
    </w:p>
    <w:p>
      <w:pPr>
        <w:pStyle w:val="ListBullet"/>
      </w:pPr>
      <w:r>
        <w:t>There is no synthetic-DXY fallback inside the canonical Point-A live source path.</w:t>
      </w:r>
    </w:p>
    <w:p>
      <w:pPr>
        <w:pStyle w:val="ListBullet"/>
      </w:pPr>
      <w:r>
        <w:t>DXY H1 provides market-flow / structural direction evidence.</w:t>
      </w:r>
    </w:p>
    <w:p>
      <w:pPr>
        <w:pStyle w:val="ListBullet"/>
      </w:pPr>
      <w:r>
        <w:t>DXY M15 provides entry-health, short-term alignment/deterioration and move/SR context.</w:t>
      </w:r>
    </w:p>
    <w:p>
      <w:pPr>
        <w:pStyle w:val="Heading2"/>
      </w:pPr>
      <w:r>
        <w:t>7.2 H1 + M15 direction contract</w:t>
      </w:r>
    </w:p>
    <w:p>
      <w:r>
        <w:t>The current tuned contract requires sufficiently strong/fresh H1 directional evidence and compatible M15 confirmation before DXY is treated as clearly directional. Neutral/unclear conditions deliberately route Point-A to WAIT rather than forcing an entry.</w:t>
      </w:r>
    </w:p>
    <w:tbl>
      <w:tblPr>
        <w:tblStyle w:val="TableGrid"/>
        <w:tblW w:type="auto" w:w="0"/>
        <w:jc w:val="center"/>
        <w:tblLook w:firstColumn="1" w:firstRow="1" w:lastColumn="0" w:lastRow="0" w:noHBand="0" w:noVBand="1" w:val="04A0"/>
      </w:tblPr>
      <w:tblGrid>
        <w:gridCol w:w="5083"/>
        <w:gridCol w:w="5083"/>
      </w:tblGrid>
      <w:tr>
        <w:tc>
          <w:tcPr>
            <w:tcW w:type="dxa" w:w="4752"/>
            <w:vAlign w:val="center"/>
            <w:shd w:fill="D9EAF7"/>
          </w:tcPr>
          <w:p>
            <w:r/>
            <w:r>
              <w:rPr>
                <w:rFonts w:ascii="Aptos" w:hAnsi="Aptos"/>
                <w:b/>
                <w:sz w:val="16"/>
              </w:rPr>
              <w:t>Control</w:t>
            </w:r>
          </w:p>
        </w:tc>
        <w:tc>
          <w:tcPr>
            <w:tcW w:type="dxa" w:w="5184"/>
            <w:vAlign w:val="center"/>
            <w:shd w:fill="D9EAF7"/>
          </w:tcPr>
          <w:p>
            <w:r/>
            <w:r>
              <w:rPr>
                <w:rFonts w:ascii="Aptos" w:hAnsi="Aptos"/>
                <w:b/>
                <w:sz w:val="16"/>
              </w:rPr>
              <w:t>Current reference</w:t>
            </w:r>
          </w:p>
        </w:tc>
      </w:tr>
      <w:tr>
        <w:tc>
          <w:tcPr>
            <w:tcW w:type="dxa" w:w="4752"/>
            <w:vAlign w:val="center"/>
          </w:tcPr>
          <w:p>
            <w:r/>
            <w:r>
              <w:rPr>
                <w:rFonts w:ascii="Aptos" w:hAnsi="Aptos"/>
                <w:b w:val="0"/>
                <w:sz w:val="15"/>
              </w:rPr>
              <w:t>H1 evidence winner threshold</w:t>
            </w:r>
          </w:p>
        </w:tc>
        <w:tc>
          <w:tcPr>
            <w:tcW w:type="dxa" w:w="5184"/>
            <w:vAlign w:val="center"/>
          </w:tcPr>
          <w:p>
            <w:r/>
            <w:r>
              <w:rPr>
                <w:rFonts w:ascii="Aptos" w:hAnsi="Aptos"/>
                <w:b w:val="0"/>
                <w:sz w:val="15"/>
              </w:rPr>
              <w:t>&gt;= 40</w:t>
            </w:r>
          </w:p>
        </w:tc>
      </w:tr>
      <w:tr>
        <w:tc>
          <w:tcPr>
            <w:tcW w:type="dxa" w:w="4752"/>
            <w:vAlign w:val="center"/>
          </w:tcPr>
          <w:p>
            <w:r/>
            <w:r>
              <w:rPr>
                <w:rFonts w:ascii="Aptos" w:hAnsi="Aptos"/>
                <w:b w:val="0"/>
                <w:sz w:val="15"/>
              </w:rPr>
              <w:t>H1 winner margin</w:t>
            </w:r>
          </w:p>
        </w:tc>
        <w:tc>
          <w:tcPr>
            <w:tcW w:type="dxa" w:w="5184"/>
            <w:vAlign w:val="center"/>
          </w:tcPr>
          <w:p>
            <w:r/>
            <w:r>
              <w:rPr>
                <w:rFonts w:ascii="Aptos" w:hAnsi="Aptos"/>
                <w:b w:val="0"/>
                <w:sz w:val="15"/>
              </w:rPr>
              <w:t>&gt;= 20</w:t>
            </w:r>
          </w:p>
        </w:tc>
      </w:tr>
      <w:tr>
        <w:tc>
          <w:tcPr>
            <w:tcW w:type="dxa" w:w="4752"/>
            <w:vAlign w:val="center"/>
          </w:tcPr>
          <w:p>
            <w:r/>
            <w:r>
              <w:rPr>
                <w:rFonts w:ascii="Aptos" w:hAnsi="Aptos"/>
                <w:b w:val="0"/>
                <w:sz w:val="15"/>
              </w:rPr>
              <w:t>H1 freshness</w:t>
            </w:r>
          </w:p>
        </w:tc>
        <w:tc>
          <w:tcPr>
            <w:tcW w:type="dxa" w:w="5184"/>
            <w:vAlign w:val="center"/>
          </w:tcPr>
          <w:p>
            <w:r/>
            <w:r>
              <w:rPr>
                <w:rFonts w:ascii="Aptos" w:hAnsi="Aptos"/>
                <w:b w:val="0"/>
                <w:sz w:val="15"/>
              </w:rPr>
              <w:t>&lt;= 2 hours</w:t>
            </w:r>
          </w:p>
        </w:tc>
      </w:tr>
      <w:tr>
        <w:tc>
          <w:tcPr>
            <w:tcW w:type="dxa" w:w="4752"/>
            <w:vAlign w:val="center"/>
          </w:tcPr>
          <w:p>
            <w:r/>
            <w:r>
              <w:rPr>
                <w:rFonts w:ascii="Aptos" w:hAnsi="Aptos"/>
                <w:b w:val="0"/>
                <w:sz w:val="15"/>
              </w:rPr>
              <w:t>M15 deterioration revoke score</w:t>
            </w:r>
          </w:p>
        </w:tc>
        <w:tc>
          <w:tcPr>
            <w:tcW w:type="dxa" w:w="5184"/>
            <w:vAlign w:val="center"/>
          </w:tcPr>
          <w:p>
            <w:r/>
            <w:r>
              <w:rPr>
                <w:rFonts w:ascii="Aptos" w:hAnsi="Aptos"/>
                <w:b w:val="0"/>
                <w:sz w:val="15"/>
              </w:rPr>
              <w:t>&gt;= 30 -&gt; WAIT</w:t>
            </w:r>
          </w:p>
        </w:tc>
      </w:tr>
      <w:tr>
        <w:tc>
          <w:tcPr>
            <w:tcW w:type="dxa" w:w="4752"/>
            <w:vAlign w:val="center"/>
          </w:tcPr>
          <w:p>
            <w:r/>
            <w:r>
              <w:rPr>
                <w:rFonts w:ascii="Aptos" w:hAnsi="Aptos"/>
                <w:b w:val="0"/>
                <w:sz w:val="15"/>
              </w:rPr>
              <w:t>Mature DXY move</w:t>
            </w:r>
          </w:p>
        </w:tc>
        <w:tc>
          <w:tcPr>
            <w:tcW w:type="dxa" w:w="5184"/>
            <w:vAlign w:val="center"/>
          </w:tcPr>
          <w:p>
            <w:r/>
            <w:r>
              <w:rPr>
                <w:rFonts w:ascii="Aptos" w:hAnsi="Aptos"/>
                <w:b w:val="0"/>
                <w:sz w:val="15"/>
              </w:rPr>
              <w:t>&gt;= 1.50 ATR</w:t>
            </w:r>
          </w:p>
        </w:tc>
      </w:tr>
      <w:tr>
        <w:tc>
          <w:tcPr>
            <w:tcW w:type="dxa" w:w="4752"/>
            <w:vAlign w:val="center"/>
          </w:tcPr>
          <w:p>
            <w:r/>
            <w:r>
              <w:rPr>
                <w:rFonts w:ascii="Aptos" w:hAnsi="Aptos"/>
                <w:b w:val="0"/>
                <w:sz w:val="15"/>
              </w:rPr>
              <w:t>Extended recent DXY move</w:t>
            </w:r>
          </w:p>
        </w:tc>
        <w:tc>
          <w:tcPr>
            <w:tcW w:type="dxa" w:w="5184"/>
            <w:vAlign w:val="center"/>
          </w:tcPr>
          <w:p>
            <w:r/>
            <w:r>
              <w:rPr>
                <w:rFonts w:ascii="Aptos" w:hAnsi="Aptos"/>
                <w:b w:val="0"/>
                <w:sz w:val="15"/>
              </w:rPr>
              <w:t>&gt;= 1.80 ATR</w:t>
            </w:r>
          </w:p>
        </w:tc>
      </w:tr>
      <w:tr>
        <w:tc>
          <w:tcPr>
            <w:tcW w:type="dxa" w:w="4752"/>
            <w:vAlign w:val="center"/>
          </w:tcPr>
          <w:p>
            <w:r/>
            <w:r>
              <w:rPr>
                <w:rFonts w:ascii="Aptos" w:hAnsi="Aptos"/>
                <w:b w:val="0"/>
                <w:sz w:val="15"/>
              </w:rPr>
              <w:t>Mature opposing-SR room wait</w:t>
            </w:r>
          </w:p>
        </w:tc>
        <w:tc>
          <w:tcPr>
            <w:tcW w:type="dxa" w:w="5184"/>
            <w:vAlign w:val="center"/>
          </w:tcPr>
          <w:p>
            <w:r/>
            <w:r>
              <w:rPr>
                <w:rFonts w:ascii="Aptos" w:hAnsi="Aptos"/>
                <w:b w:val="0"/>
                <w:sz w:val="15"/>
              </w:rPr>
              <w:t>&lt;= 0.75 ATR</w:t>
            </w:r>
          </w:p>
        </w:tc>
      </w:tr>
      <w:tr>
        <w:tc>
          <w:tcPr>
            <w:tcW w:type="dxa" w:w="4752"/>
            <w:vAlign w:val="center"/>
          </w:tcPr>
          <w:p>
            <w:r/>
            <w:r>
              <w:rPr>
                <w:rFonts w:ascii="Aptos" w:hAnsi="Aptos"/>
                <w:b w:val="0"/>
                <w:sz w:val="15"/>
              </w:rPr>
              <w:t>Canonical directional-room hard concern</w:t>
            </w:r>
          </w:p>
        </w:tc>
        <w:tc>
          <w:tcPr>
            <w:tcW w:type="dxa" w:w="5184"/>
            <w:vAlign w:val="center"/>
          </w:tcPr>
          <w:p>
            <w:r/>
            <w:r>
              <w:rPr>
                <w:rFonts w:ascii="Aptos" w:hAnsi="Aptos"/>
                <w:b w:val="0"/>
                <w:sz w:val="15"/>
              </w:rPr>
              <w:t>&lt;= 0.20 ATR when canonical structure indicates the constrained condition</w:t>
            </w:r>
          </w:p>
        </w:tc>
      </w:tr>
    </w:tbl>
    <w:p/>
    <w:p>
      <w:pPr>
        <w:pStyle w:val="Heading2"/>
      </w:pPr>
      <w:r>
        <w:t>7.3 Canonical DXY structure authority</w:t>
      </w:r>
    </w:p>
    <w:p>
      <w:r>
        <w:t>Point-A uses canonical DXY structure fields as authority for immediate directional room. The nearest meaningful opposing SR among the next three levels is the room authority; it is not replaced by simply choosing the strongest of the next three.</w:t>
      </w:r>
    </w:p>
    <w:p>
      <w:pPr>
        <w:pStyle w:val="ListBullet"/>
      </w:pPr>
      <w:r>
        <w:t>Canonical structure_pressure such as EXTREME is propagated into the decision.</w:t>
      </w:r>
    </w:p>
    <w:p>
      <w:pPr>
        <w:pStyle w:val="ListBullet"/>
      </w:pPr>
      <w:r>
        <w:t>directional_room_atr &lt;= 0.20 is a critical constrained-room condition.</w:t>
      </w:r>
    </w:p>
    <w:p>
      <w:pPr>
        <w:pStyle w:val="ListBullet"/>
      </w:pPr>
      <w:r>
        <w:t>INSIDE_RESISTANCE / equivalent canonical structure reason must not be diluted into a PASS by a secondary analytics view.</w:t>
      </w:r>
    </w:p>
    <w:p>
      <w:pPr>
        <w:pStyle w:val="ListBullet"/>
      </w:pPr>
      <w:r>
        <w:t>Mature/extended DXY movement approaching opposing SR can produce WAIT even when the broad DXY direction is otherwise aligned.</w:t>
      </w:r>
    </w:p>
    <w:p>
      <w:pPr>
        <w:pStyle w:val="Heading2"/>
      </w:pPr>
      <w:r>
        <w:t>7.4 Point-A result semantics</w:t>
      </w:r>
    </w:p>
    <w:tbl>
      <w:tblPr>
        <w:tblStyle w:val="TableGrid"/>
        <w:tblW w:type="auto" w:w="0"/>
        <w:jc w:val="center"/>
        <w:tblLook w:firstColumn="1" w:firstRow="1" w:lastColumn="0" w:lastRow="0" w:noHBand="0" w:noVBand="1" w:val="04A0"/>
      </w:tblPr>
      <w:tblGrid>
        <w:gridCol w:w="3389"/>
        <w:gridCol w:w="3389"/>
        <w:gridCol w:w="3389"/>
      </w:tblGrid>
      <w:tr>
        <w:tc>
          <w:tcPr>
            <w:tcW w:type="dxa" w:w="3096"/>
            <w:vAlign w:val="center"/>
            <w:shd w:fill="D9EAF7"/>
          </w:tcPr>
          <w:p>
            <w:r/>
            <w:r>
              <w:rPr>
                <w:rFonts w:ascii="Aptos" w:hAnsi="Aptos"/>
                <w:b/>
                <w:sz w:val="16"/>
              </w:rPr>
              <w:t>Result/state</w:t>
            </w:r>
          </w:p>
        </w:tc>
        <w:tc>
          <w:tcPr>
            <w:tcW w:type="dxa" w:w="4536"/>
            <w:vAlign w:val="center"/>
            <w:shd w:fill="D9EAF7"/>
          </w:tcPr>
          <w:p>
            <w:r/>
            <w:r>
              <w:rPr>
                <w:rFonts w:ascii="Aptos" w:hAnsi="Aptos"/>
                <w:b/>
                <w:sz w:val="16"/>
              </w:rPr>
              <w:t>Meaning</w:t>
            </w:r>
          </w:p>
        </w:tc>
        <w:tc>
          <w:tcPr>
            <w:tcW w:type="dxa" w:w="3528"/>
            <w:vAlign w:val="center"/>
            <w:shd w:fill="D9EAF7"/>
          </w:tcPr>
          <w:p>
            <w:r/>
            <w:r>
              <w:rPr>
                <w:rFonts w:ascii="Aptos" w:hAnsi="Aptos"/>
                <w:b/>
                <w:sz w:val="16"/>
              </w:rPr>
              <w:t>Lifecycle behavior</w:t>
            </w:r>
          </w:p>
        </w:tc>
      </w:tr>
      <w:tr>
        <w:tc>
          <w:tcPr>
            <w:tcW w:type="dxa" w:w="3096"/>
            <w:vAlign w:val="center"/>
          </w:tcPr>
          <w:p>
            <w:r/>
            <w:r>
              <w:rPr>
                <w:rFonts w:ascii="Aptos" w:hAnsi="Aptos"/>
                <w:b w:val="0"/>
                <w:sz w:val="15"/>
              </w:rPr>
              <w:t>PLACE / pass</w:t>
            </w:r>
          </w:p>
        </w:tc>
        <w:tc>
          <w:tcPr>
            <w:tcW w:type="dxa" w:w="4536"/>
            <w:vAlign w:val="center"/>
          </w:tcPr>
          <w:p>
            <w:r/>
            <w:r>
              <w:rPr>
                <w:rFonts w:ascii="Aptos" w:hAnsi="Aptos"/>
                <w:b w:val="0"/>
                <w:sz w:val="15"/>
              </w:rPr>
              <w:t>Macro/structure conditions allow the confirmed symbol breakout.</w:t>
            </w:r>
          </w:p>
        </w:tc>
        <w:tc>
          <w:tcPr>
            <w:tcW w:type="dxa" w:w="3528"/>
            <w:vAlign w:val="center"/>
          </w:tcPr>
          <w:p>
            <w:r/>
            <w:r>
              <w:rPr>
                <w:rFonts w:ascii="Aptos" w:hAnsi="Aptos"/>
                <w:b w:val="0"/>
                <w:sz w:val="15"/>
              </w:rPr>
              <w:t>Continue toward ENTRY_READY/order execution.</w:t>
            </w:r>
          </w:p>
        </w:tc>
      </w:tr>
      <w:tr>
        <w:tc>
          <w:tcPr>
            <w:tcW w:type="dxa" w:w="3096"/>
            <w:vAlign w:val="center"/>
          </w:tcPr>
          <w:p>
            <w:r/>
            <w:r>
              <w:rPr>
                <w:rFonts w:ascii="Aptos" w:hAnsi="Aptos"/>
                <w:b w:val="0"/>
                <w:sz w:val="15"/>
              </w:rPr>
              <w:t>ENTRY_BLOCKED_POINT_A_WAIT</w:t>
            </w:r>
          </w:p>
        </w:tc>
        <w:tc>
          <w:tcPr>
            <w:tcW w:type="dxa" w:w="4536"/>
            <w:vAlign w:val="center"/>
          </w:tcPr>
          <w:p>
            <w:r/>
            <w:r>
              <w:rPr>
                <w:rFonts w:ascii="Aptos" w:hAnsi="Aptos"/>
                <w:b w:val="0"/>
                <w:sz w:val="15"/>
              </w:rPr>
              <w:t>Setup remains valid but DXY/structure is unclear or temporarily unsafe.</w:t>
            </w:r>
          </w:p>
        </w:tc>
        <w:tc>
          <w:tcPr>
            <w:tcW w:type="dxa" w:w="3528"/>
            <w:vAlign w:val="center"/>
          </w:tcPr>
          <w:p>
            <w:r/>
            <w:r>
              <w:rPr>
                <w:rFonts w:ascii="Aptos" w:hAnsi="Aptos"/>
                <w:b w:val="0"/>
                <w:sz w:val="15"/>
              </w:rPr>
              <w:t>Hold the same confirmed setup and re-evaluate Point-A.</w:t>
            </w:r>
          </w:p>
        </w:tc>
      </w:tr>
      <w:tr>
        <w:tc>
          <w:tcPr>
            <w:tcW w:type="dxa" w:w="3096"/>
            <w:vAlign w:val="center"/>
          </w:tcPr>
          <w:p>
            <w:r/>
            <w:r>
              <w:rPr>
                <w:rFonts w:ascii="Aptos" w:hAnsi="Aptos"/>
                <w:b w:val="0"/>
                <w:sz w:val="15"/>
              </w:rPr>
              <w:t>ENTRY_BLOCKED_POINT_A_BLOCK</w:t>
            </w:r>
          </w:p>
        </w:tc>
        <w:tc>
          <w:tcPr>
            <w:tcW w:type="dxa" w:w="4536"/>
            <w:vAlign w:val="center"/>
          </w:tcPr>
          <w:p>
            <w:r/>
            <w:r>
              <w:rPr>
                <w:rFonts w:ascii="Aptos" w:hAnsi="Aptos"/>
                <w:b w:val="0"/>
                <w:sz w:val="15"/>
              </w:rPr>
              <w:t>Terminal Point-A rejection.</w:t>
            </w:r>
          </w:p>
        </w:tc>
        <w:tc>
          <w:tcPr>
            <w:tcW w:type="dxa" w:w="3528"/>
            <w:vAlign w:val="center"/>
          </w:tcPr>
          <w:p>
            <w:r/>
            <w:r>
              <w:rPr>
                <w:rFonts w:ascii="Aptos" w:hAnsi="Aptos"/>
                <w:b w:val="0"/>
                <w:sz w:val="15"/>
              </w:rPr>
              <w:t>Normalize state as terminal blocked; do not place.</w:t>
            </w:r>
          </w:p>
        </w:tc>
      </w:tr>
      <w:tr>
        <w:tc>
          <w:tcPr>
            <w:tcW w:type="dxa" w:w="3096"/>
            <w:vAlign w:val="center"/>
          </w:tcPr>
          <w:p>
            <w:r/>
            <w:r>
              <w:rPr>
                <w:rFonts w:ascii="Aptos" w:hAnsi="Aptos"/>
                <w:b w:val="0"/>
                <w:sz w:val="15"/>
              </w:rPr>
              <w:t>ENTRY_BLOCKED_POINT_A_EXPIRED</w:t>
            </w:r>
          </w:p>
        </w:tc>
        <w:tc>
          <w:tcPr>
            <w:tcW w:type="dxa" w:w="4536"/>
            <w:vAlign w:val="center"/>
          </w:tcPr>
          <w:p>
            <w:r/>
            <w:r>
              <w:rPr>
                <w:rFonts w:ascii="Aptos" w:hAnsi="Aptos"/>
                <w:b w:val="0"/>
                <w:sz w:val="15"/>
              </w:rPr>
              <w:t>Point-A opportunity expired.</w:t>
            </w:r>
          </w:p>
        </w:tc>
        <w:tc>
          <w:tcPr>
            <w:tcW w:type="dxa" w:w="3528"/>
            <w:vAlign w:val="center"/>
          </w:tcPr>
          <w:p>
            <w:r/>
            <w:r>
              <w:rPr>
                <w:rFonts w:ascii="Aptos" w:hAnsi="Aptos"/>
                <w:b w:val="0"/>
                <w:sz w:val="15"/>
              </w:rPr>
              <w:t>Terminal ownership/cleanup path.</w:t>
            </w:r>
          </w:p>
        </w:tc>
      </w:tr>
      <w:tr>
        <w:tc>
          <w:tcPr>
            <w:tcW w:type="dxa" w:w="3096"/>
            <w:vAlign w:val="center"/>
          </w:tcPr>
          <w:p>
            <w:r/>
            <w:r>
              <w:rPr>
                <w:rFonts w:ascii="Aptos" w:hAnsi="Aptos"/>
                <w:b w:val="0"/>
                <w:sz w:val="15"/>
              </w:rPr>
              <w:t>PRICE_TOO_FAR re-arm</w:t>
            </w:r>
          </w:p>
        </w:tc>
        <w:tc>
          <w:tcPr>
            <w:tcW w:type="dxa" w:w="4536"/>
            <w:vAlign w:val="center"/>
          </w:tcPr>
          <w:p>
            <w:r/>
            <w:r>
              <w:rPr>
                <w:rFonts w:ascii="Aptos" w:hAnsi="Aptos"/>
                <w:b w:val="0"/>
                <w:sz w:val="15"/>
              </w:rPr>
              <w:t>Original RC breakout opportunity moved too far; retire RC and wait for a newer valid RC.</w:t>
            </w:r>
          </w:p>
        </w:tc>
        <w:tc>
          <w:tcPr>
            <w:tcW w:type="dxa" w:w="3528"/>
            <w:vAlign w:val="center"/>
          </w:tcPr>
          <w:p>
            <w:r/>
            <w:r>
              <w:rPr>
                <w:rFonts w:ascii="Aptos" w:hAnsi="Aptos"/>
                <w:b w:val="0"/>
                <w:sz w:val="15"/>
              </w:rPr>
              <w:t>Special REV_WATCH re-arm policy; see ownership exception.</w:t>
            </w:r>
          </w:p>
        </w:tc>
      </w:tr>
    </w:tbl>
    <w:p/>
    <w:p>
      <w:pPr>
        <w:pStyle w:val="Heading1"/>
      </w:pPr>
      <w:r>
        <w:t>8. Point-A PRICE_TOO_FAR Re-arm</w:t>
      </w:r>
    </w:p>
    <w:p>
      <w:r>
        <w:t>PRICE_TOO_FAR is not an ordinary untouched watch. Point-A retires the old RC and preserves the setup so a newer RC can form. The retired RC floor prevents the same obsolete RC from being reused.</w:t>
      </w:r>
    </w:p>
    <w:p>
      <w:r>
        <w:t>The production ownership exception is intentional:</w:t>
      </w:r>
    </w:p>
    <w:p>
      <w:pPr>
        <w:pStyle w:val="CodeBlock"/>
      </w:pPr>
      <w:r>
        <w:t>same-direction fresh structure -&gt; preserve PRICE_TOO_FAR re-arm</w:t>
        <w:br/>
        <w:t>fresh WATCHING/unclear -&gt; preserve re-arm</w:t>
        <w:br/>
        <w:t>fresh definite opposite H1 direction -&gt; retire old re-arm and allow structural flip</w:t>
        <w:br/>
        <w:t>true later lifecycle states -&gt; remain protected</w:t>
      </w:r>
    </w:p>
    <w:p>
      <w:r>
        <w:t>This exception prevents a stale BUY re-arm, for example, from indefinitely overriding a genuinely fresh SELL structure. The XAUUSD stale BUY re-arm issue was fixed and live-validated before this document.</w:t>
      </w:r>
    </w:p>
    <w:p>
      <w:pPr>
        <w:pStyle w:val="Heading1"/>
      </w:pPr>
      <w:r>
        <w:t>9. Watch Ownership Hierarchy</w:t>
      </w:r>
    </w:p>
    <w:p>
      <w:r>
        <w:t>Ownership is separate from fresh direction discovery. Multiple Redis watches can exist for opposite sides, especially as historical/touched records, but one candidate must own the current execution presentation.</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D9EAF7"/>
          </w:tcPr>
          <w:p>
            <w:r/>
            <w:r>
              <w:rPr>
                <w:rFonts w:ascii="Aptos" w:hAnsi="Aptos"/>
                <w:b/>
                <w:sz w:val="16"/>
              </w:rPr>
              <w:t>Rank</w:t>
            </w:r>
          </w:p>
        </w:tc>
        <w:tc>
          <w:tcPr>
            <w:tcW w:type="dxa" w:w="4176"/>
            <w:vAlign w:val="center"/>
            <w:shd w:fill="D9EAF7"/>
          </w:tcPr>
          <w:p>
            <w:r/>
            <w:r>
              <w:rPr>
                <w:rFonts w:ascii="Aptos" w:hAnsi="Aptos"/>
                <w:b/>
                <w:sz w:val="16"/>
              </w:rPr>
              <w:t>Owner class</w:t>
            </w:r>
          </w:p>
        </w:tc>
        <w:tc>
          <w:tcPr>
            <w:tcW w:type="dxa" w:w="5976"/>
            <w:vAlign w:val="center"/>
            <w:shd w:fill="D9EAF7"/>
          </w:tcPr>
          <w:p>
            <w:r/>
            <w:r>
              <w:rPr>
                <w:rFonts w:ascii="Aptos" w:hAnsi="Aptos"/>
                <w:b/>
                <w:sz w:val="16"/>
              </w:rPr>
              <w:t>Notes</w:t>
            </w:r>
          </w:p>
        </w:tc>
      </w:tr>
      <w:tr>
        <w:tc>
          <w:tcPr>
            <w:tcW w:type="dxa" w:w="936"/>
            <w:vAlign w:val="center"/>
          </w:tcPr>
          <w:p>
            <w:r/>
            <w:r>
              <w:rPr>
                <w:rFonts w:ascii="Aptos" w:hAnsi="Aptos"/>
                <w:b w:val="0"/>
                <w:sz w:val="15"/>
              </w:rPr>
              <w:t>100</w:t>
            </w:r>
          </w:p>
        </w:tc>
        <w:tc>
          <w:tcPr>
            <w:tcW w:type="dxa" w:w="4176"/>
            <w:vAlign w:val="center"/>
          </w:tcPr>
          <w:p>
            <w:r/>
            <w:r>
              <w:rPr>
                <w:rFonts w:ascii="Aptos" w:hAnsi="Aptos"/>
                <w:b w:val="0"/>
                <w:sz w:val="15"/>
              </w:rPr>
              <w:t>TRADE_ACTIVE</w:t>
            </w:r>
          </w:p>
        </w:tc>
        <w:tc>
          <w:tcPr>
            <w:tcW w:type="dxa" w:w="5976"/>
            <w:vAlign w:val="center"/>
          </w:tcPr>
          <w:p>
            <w:r/>
            <w:r>
              <w:rPr>
                <w:rFonts w:ascii="Aptos" w:hAnsi="Aptos"/>
                <w:b w:val="0"/>
                <w:sz w:val="15"/>
              </w:rPr>
              <w:t>Broker/live trade is highest authority.</w:t>
            </w:r>
          </w:p>
        </w:tc>
      </w:tr>
      <w:tr>
        <w:tc>
          <w:tcPr>
            <w:tcW w:type="dxa" w:w="936"/>
            <w:vAlign w:val="center"/>
          </w:tcPr>
          <w:p>
            <w:r/>
            <w:r>
              <w:rPr>
                <w:rFonts w:ascii="Aptos" w:hAnsi="Aptos"/>
                <w:b w:val="0"/>
                <w:sz w:val="15"/>
              </w:rPr>
              <w:t>95</w:t>
            </w:r>
          </w:p>
        </w:tc>
        <w:tc>
          <w:tcPr>
            <w:tcW w:type="dxa" w:w="4176"/>
            <w:vAlign w:val="center"/>
          </w:tcPr>
          <w:p>
            <w:r/>
            <w:r>
              <w:rPr>
                <w:rFonts w:ascii="Aptos" w:hAnsi="Aptos"/>
                <w:b w:val="0"/>
                <w:sz w:val="15"/>
              </w:rPr>
              <w:t>BROKER_CLOSE_PENDING</w:t>
            </w:r>
          </w:p>
        </w:tc>
        <w:tc>
          <w:tcPr>
            <w:tcW w:type="dxa" w:w="5976"/>
            <w:vAlign w:val="center"/>
          </w:tcPr>
          <w:p>
            <w:r/>
            <w:r>
              <w:rPr>
                <w:rFonts w:ascii="Aptos" w:hAnsi="Aptos"/>
                <w:b w:val="0"/>
                <w:sz w:val="15"/>
              </w:rPr>
              <w:t>Close lifecycle remains protected.</w:t>
            </w:r>
          </w:p>
        </w:tc>
      </w:tr>
      <w:tr>
        <w:tc>
          <w:tcPr>
            <w:tcW w:type="dxa" w:w="936"/>
            <w:vAlign w:val="center"/>
          </w:tcPr>
          <w:p>
            <w:r/>
            <w:r>
              <w:rPr>
                <w:rFonts w:ascii="Aptos" w:hAnsi="Aptos"/>
                <w:b w:val="0"/>
                <w:sz w:val="15"/>
              </w:rPr>
              <w:t>90</w:t>
            </w:r>
          </w:p>
        </w:tc>
        <w:tc>
          <w:tcPr>
            <w:tcW w:type="dxa" w:w="4176"/>
            <w:vAlign w:val="center"/>
          </w:tcPr>
          <w:p>
            <w:r/>
            <w:r>
              <w:rPr>
                <w:rFonts w:ascii="Aptos" w:hAnsi="Aptos"/>
                <w:b w:val="0"/>
                <w:sz w:val="15"/>
              </w:rPr>
              <w:t>ORDER_PENDING</w:t>
            </w:r>
          </w:p>
        </w:tc>
        <w:tc>
          <w:tcPr>
            <w:tcW w:type="dxa" w:w="5976"/>
            <w:vAlign w:val="center"/>
          </w:tcPr>
          <w:p>
            <w:r/>
            <w:r>
              <w:rPr>
                <w:rFonts w:ascii="Aptos" w:hAnsi="Aptos"/>
                <w:b w:val="0"/>
                <w:sz w:val="15"/>
              </w:rPr>
              <w:t>Submitted/pending broker order.</w:t>
            </w:r>
          </w:p>
        </w:tc>
      </w:tr>
      <w:tr>
        <w:tc>
          <w:tcPr>
            <w:tcW w:type="dxa" w:w="936"/>
            <w:vAlign w:val="center"/>
          </w:tcPr>
          <w:p>
            <w:r/>
            <w:r>
              <w:rPr>
                <w:rFonts w:ascii="Aptos" w:hAnsi="Aptos"/>
                <w:b w:val="0"/>
                <w:sz w:val="15"/>
              </w:rPr>
              <w:t>80</w:t>
            </w:r>
          </w:p>
        </w:tc>
        <w:tc>
          <w:tcPr>
            <w:tcW w:type="dxa" w:w="4176"/>
            <w:vAlign w:val="center"/>
          </w:tcPr>
          <w:p>
            <w:r/>
            <w:r>
              <w:rPr>
                <w:rFonts w:ascii="Aptos" w:hAnsi="Aptos"/>
                <w:b w:val="0"/>
                <w:sz w:val="15"/>
              </w:rPr>
              <w:t>ENTRY_READY</w:t>
            </w:r>
          </w:p>
        </w:tc>
        <w:tc>
          <w:tcPr>
            <w:tcW w:type="dxa" w:w="5976"/>
            <w:vAlign w:val="center"/>
          </w:tcPr>
          <w:p>
            <w:r/>
            <w:r>
              <w:rPr>
                <w:rFonts w:ascii="Aptos" w:hAnsi="Aptos"/>
                <w:b w:val="0"/>
                <w:sz w:val="15"/>
              </w:rPr>
              <w:t>Entry lifecycle committed.</w:t>
            </w:r>
          </w:p>
        </w:tc>
      </w:tr>
      <w:tr>
        <w:tc>
          <w:tcPr>
            <w:tcW w:type="dxa" w:w="936"/>
            <w:vAlign w:val="center"/>
          </w:tcPr>
          <w:p>
            <w:r/>
            <w:r>
              <w:rPr>
                <w:rFonts w:ascii="Aptos" w:hAnsi="Aptos"/>
                <w:b w:val="0"/>
                <w:sz w:val="15"/>
              </w:rPr>
              <w:t>70</w:t>
            </w:r>
          </w:p>
        </w:tc>
        <w:tc>
          <w:tcPr>
            <w:tcW w:type="dxa" w:w="4176"/>
            <w:vAlign w:val="center"/>
          </w:tcPr>
          <w:p>
            <w:r/>
            <w:r>
              <w:rPr>
                <w:rFonts w:ascii="Aptos" w:hAnsi="Aptos"/>
                <w:b w:val="0"/>
                <w:sz w:val="15"/>
              </w:rPr>
              <w:t>ENTRY_BLOCKED*</w:t>
            </w:r>
          </w:p>
        </w:tc>
        <w:tc>
          <w:tcPr>
            <w:tcW w:type="dxa" w:w="5976"/>
            <w:vAlign w:val="center"/>
          </w:tcPr>
          <w:p>
            <w:r/>
            <w:r>
              <w:rPr>
                <w:rFonts w:ascii="Aptos" w:hAnsi="Aptos"/>
                <w:b w:val="0"/>
                <w:sz w:val="15"/>
              </w:rPr>
              <w:t>Point-A WAIT/BLOCK/EXPIRED and other blocked entry states.</w:t>
            </w:r>
          </w:p>
        </w:tc>
      </w:tr>
      <w:tr>
        <w:tc>
          <w:tcPr>
            <w:tcW w:type="dxa" w:w="936"/>
            <w:vAlign w:val="center"/>
          </w:tcPr>
          <w:p>
            <w:r/>
            <w:r>
              <w:rPr>
                <w:rFonts w:ascii="Aptos" w:hAnsi="Aptos"/>
                <w:b w:val="0"/>
                <w:sz w:val="15"/>
              </w:rPr>
              <w:t>60</w:t>
            </w:r>
          </w:p>
        </w:tc>
        <w:tc>
          <w:tcPr>
            <w:tcW w:type="dxa" w:w="4176"/>
            <w:vAlign w:val="center"/>
          </w:tcPr>
          <w:p>
            <w:r/>
            <w:r>
              <w:rPr>
                <w:rFonts w:ascii="Aptos" w:hAnsi="Aptos"/>
                <w:b w:val="0"/>
                <w:sz w:val="15"/>
              </w:rPr>
              <w:t>REV_OK</w:t>
            </w:r>
          </w:p>
        </w:tc>
        <w:tc>
          <w:tcPr>
            <w:tcW w:type="dxa" w:w="5976"/>
            <w:vAlign w:val="center"/>
          </w:tcPr>
          <w:p>
            <w:r/>
            <w:r>
              <w:rPr>
                <w:rFonts w:ascii="Aptos" w:hAnsi="Aptos"/>
                <w:b w:val="0"/>
                <w:sz w:val="15"/>
              </w:rPr>
              <w:t>Confirmed reversal candle.</w:t>
            </w:r>
          </w:p>
        </w:tc>
      </w:tr>
      <w:tr>
        <w:tc>
          <w:tcPr>
            <w:tcW w:type="dxa" w:w="936"/>
            <w:vAlign w:val="center"/>
          </w:tcPr>
          <w:p>
            <w:r/>
            <w:r>
              <w:rPr>
                <w:rFonts w:ascii="Aptos" w:hAnsi="Aptos"/>
                <w:b w:val="0"/>
                <w:sz w:val="15"/>
              </w:rPr>
              <w:t>55</w:t>
            </w:r>
          </w:p>
        </w:tc>
        <w:tc>
          <w:tcPr>
            <w:tcW w:type="dxa" w:w="4176"/>
            <w:vAlign w:val="center"/>
          </w:tcPr>
          <w:p>
            <w:r/>
            <w:r>
              <w:rPr>
                <w:rFonts w:ascii="Aptos" w:hAnsi="Aptos"/>
                <w:b w:val="0"/>
                <w:sz w:val="15"/>
              </w:rPr>
              <w:t>Actual touched/frozen WATCH or REV_WATCH</w:t>
            </w:r>
          </w:p>
        </w:tc>
        <w:tc>
          <w:tcPr>
            <w:tcW w:type="dxa" w:w="5976"/>
            <w:vAlign w:val="center"/>
          </w:tcPr>
          <w:p>
            <w:r/>
            <w:r>
              <w:rPr>
                <w:rFonts w:ascii="Aptos" w:hAnsi="Aptos"/>
                <w:b w:val="0"/>
                <w:sz w:val="15"/>
              </w:rPr>
              <w:t>Detected by touch evidence + zone_used, not state label alone.</w:t>
            </w:r>
          </w:p>
        </w:tc>
      </w:tr>
      <w:tr>
        <w:tc>
          <w:tcPr>
            <w:tcW w:type="dxa" w:w="936"/>
            <w:vAlign w:val="center"/>
          </w:tcPr>
          <w:p>
            <w:r/>
            <w:r>
              <w:rPr>
                <w:rFonts w:ascii="Aptos" w:hAnsi="Aptos"/>
                <w:b w:val="0"/>
                <w:sz w:val="15"/>
              </w:rPr>
              <w:t>50</w:t>
            </w:r>
          </w:p>
        </w:tc>
        <w:tc>
          <w:tcPr>
            <w:tcW w:type="dxa" w:w="4176"/>
            <w:vAlign w:val="center"/>
          </w:tcPr>
          <w:p>
            <w:r/>
            <w:r>
              <w:rPr>
                <w:rFonts w:ascii="Aptos" w:hAnsi="Aptos"/>
                <w:b w:val="0"/>
                <w:sz w:val="15"/>
              </w:rPr>
              <w:t>Point-A PRICE_TOO_FAR re-arm</w:t>
            </w:r>
          </w:p>
        </w:tc>
        <w:tc>
          <w:tcPr>
            <w:tcW w:type="dxa" w:w="5976"/>
            <w:vAlign w:val="center"/>
          </w:tcPr>
          <w:p>
            <w:r/>
            <w:r>
              <w:rPr>
                <w:rFonts w:ascii="Aptos" w:hAnsi="Aptos"/>
                <w:b w:val="0"/>
                <w:sz w:val="15"/>
              </w:rPr>
              <w:t>Protected unless fresh definite opposite direction invokes the special exception.</w:t>
            </w:r>
          </w:p>
        </w:tc>
      </w:tr>
      <w:tr>
        <w:tc>
          <w:tcPr>
            <w:tcW w:type="dxa" w:w="936"/>
            <w:vAlign w:val="center"/>
          </w:tcPr>
          <w:p>
            <w:r/>
            <w:r>
              <w:rPr>
                <w:rFonts w:ascii="Aptos" w:hAnsi="Aptos"/>
                <w:b w:val="0"/>
                <w:sz w:val="15"/>
              </w:rPr>
              <w:t>40</w:t>
            </w:r>
          </w:p>
        </w:tc>
        <w:tc>
          <w:tcPr>
            <w:tcW w:type="dxa" w:w="4176"/>
            <w:vAlign w:val="center"/>
          </w:tcPr>
          <w:p>
            <w:r/>
            <w:r>
              <w:rPr>
                <w:rFonts w:ascii="Aptos" w:hAnsi="Aptos"/>
                <w:b w:val="0"/>
                <w:sz w:val="15"/>
              </w:rPr>
              <w:t>MISSED_BREAKOUT / ORDER_FAILED / ZONE_INVALIDATED</w:t>
            </w:r>
          </w:p>
        </w:tc>
        <w:tc>
          <w:tcPr>
            <w:tcW w:type="dxa" w:w="5976"/>
            <w:vAlign w:val="center"/>
          </w:tcPr>
          <w:p>
            <w:r/>
            <w:r>
              <w:rPr>
                <w:rFonts w:ascii="Aptos" w:hAnsi="Aptos"/>
                <w:b w:val="0"/>
                <w:sz w:val="15"/>
              </w:rPr>
              <w:t>Terminal/audit ownership where retained.</w:t>
            </w:r>
          </w:p>
        </w:tc>
      </w:tr>
    </w:tbl>
    <w:p/>
    <w:p>
      <w:r>
        <w:t>For equal-rank hard candidates, the newer started_ms wins. This was live-tested with simultaneous opposite touched watches.</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Post-touch rule</w:t>
              <w:br/>
            </w:r>
            <w:r>
              <w:rPr>
                <w:sz w:val="17"/>
              </w:rPr>
              <w:t>Ordinary pre-touch WATCH/REV_WATCH remains conditional. A WATCH/REV_WATCH with real touch evidence is a frozen owner. DIST_GUARD must use the same contract so it cannot later evict a setup the primary resolver correctly protected.</w:t>
            </w:r>
          </w:p>
        </w:tc>
      </w:tr>
    </w:tbl>
    <w:p/>
    <w:p>
      <w:pPr>
        <w:pStyle w:val="Heading1"/>
      </w:pPr>
      <w:r>
        <w:t>10. DIST_GUARD and Distance Semantics</w:t>
      </w:r>
    </w:p>
    <w:p>
      <w:r>
        <w:t>DIST_GUARD limits actionability and stale-distance behavior, but it is subordinate to lifecycle ownership. It must not resurrect an ordinary rejected watch, and it must not evict a genuine post-touch frozen watch.</w:t>
      </w:r>
    </w:p>
    <w:p>
      <w:pPr>
        <w:pStyle w:val="CodeBlock"/>
      </w:pPr>
      <w:r>
        <w:t>_has_frozen = _is_protected_watch_state(state) OR _is_touch_frozen_watch(watch)</w:t>
      </w:r>
    </w:p>
    <w:p>
      <w:pPr>
        <w:pStyle w:val="ListBullet"/>
      </w:pPr>
      <w:r>
        <w:t>Pre-touch dynamic watch: may be replaced/reset when no longer actionable.</w:t>
      </w:r>
    </w:p>
    <w:p>
      <w:pPr>
        <w:pStyle w:val="ListBullet"/>
      </w:pPr>
      <w:r>
        <w:t>Post-touch frozen watch: preserved through distance movement until normal lifecycle release/invalidation.</w:t>
      </w:r>
    </w:p>
    <w:p>
      <w:pPr>
        <w:pStyle w:val="ListBullet"/>
      </w:pPr>
      <w:r>
        <w:t>Point-A PRICE_TOO_FAR keeps its separate re-arm/structural-flip behavior.</w:t>
      </w:r>
    </w:p>
    <w:p>
      <w:pPr>
        <w:pStyle w:val="ListBullet"/>
      </w:pPr>
      <w:r>
        <w:t>If the resolver deletes a stale lifecycle key, local watch/zone_used must also be cleared in the same call so DIST_GUARD cannot resurrect it.</w:t>
      </w:r>
    </w:p>
    <w:p>
      <w:pPr>
        <w:pStyle w:val="Heading1"/>
      </w:pPr>
      <w:r>
        <w:t>11. End-to-End Lifecycle State Machine</w:t>
      </w:r>
    </w:p>
    <w:p>
      <w:pPr>
        <w:pStyle w:val="CodeBlock"/>
      </w:pPr>
      <w:r>
        <w:t>DISCOVERY</w:t>
        <w:br/>
        <w:t xml:space="preserve">  WATCHING / WAIT_ZONE_TOUCH</w:t>
        <w:br/>
        <w:t xml:space="preserve">      |</w:t>
        <w:br/>
        <w:t xml:space="preserve">      | actual execution-zone touch</w:t>
        <w:br/>
        <w:t xml:space="preserve">      v</w:t>
        <w:br/>
        <w:t>POST-TOUCH FROZEN</w:t>
        <w:br/>
        <w:t xml:space="preserve">  WATCH in Redis + LIVE_TOUCH evidence</w:t>
        <w:br/>
        <w:t xml:space="preserve">  gate semantics: REV_WATCH / FZ</w:t>
        <w:br/>
        <w:t xml:space="preserve">      |</w:t>
        <w:br/>
        <w:t xml:space="preserve">      | completed H1 reclaim of frozen zone</w:t>
        <w:br/>
        <w:t xml:space="preserve">      v</w:t>
        <w:br/>
        <w:t>REV_OK / REV_LOCKED</w:t>
        <w:br/>
        <w:t xml:space="preserve">      |</w:t>
        <w:br/>
        <w:t xml:space="preserve">      | live price breaks RC high/low</w:t>
        <w:br/>
        <w:t xml:space="preserve">      v</w:t>
        <w:br/>
        <w:t>POINT-A</w:t>
        <w:br/>
        <w:t xml:space="preserve">  |-- WAIT  -&gt; ENTRY_BLOCKED_POINT_A_WAIT -&gt; re-evaluate same setup</w:t>
        <w:br/>
        <w:t xml:space="preserve">  |-- BLOCK -&gt; terminal blocked</w:t>
        <w:br/>
        <w:t xml:space="preserve">  |-- EXPIRE -&gt; terminal expired</w:t>
        <w:br/>
        <w:t xml:space="preserve">  |-- PRICE_TOO_FAR -&gt; retire RC -&gt; re-arm for newer RC</w:t>
        <w:br/>
        <w:t xml:space="preserve">  `-- PLACE</w:t>
        <w:br/>
        <w:t xml:space="preserve">      v</w:t>
        <w:br/>
        <w:t>ENTRY_READY</w:t>
        <w:br/>
        <w:t xml:space="preserve">      v</w:t>
        <w:br/>
        <w:t>ORDER_PENDING</w:t>
        <w:br/>
        <w:t xml:space="preserve">      v</w:t>
        <w:br/>
        <w:t>TRADE_ACTIVE</w:t>
        <w:br/>
        <w:t xml:space="preserve">      v</w:t>
        <w:br/>
        <w:t>BROKER CLOSE / RECONCILE</w:t>
        <w:br/>
        <w:t xml:space="preserve">      v</w:t>
        <w:br/>
        <w:t>CLOSED + analytics + risk release + cooldown</w:t>
      </w:r>
    </w:p>
    <w:p>
      <w:pPr>
        <w:pStyle w:val="Heading2"/>
      </w:pPr>
      <w:r>
        <w:t>11.1 Release / reset paths</w:t>
      </w:r>
    </w:p>
    <w:p>
      <w:pPr>
        <w:pStyle w:val="ListBullet"/>
      </w:pPr>
      <w:r>
        <w:t>Two full completed closes beyond the wrong side of the frozen zone are the documented structural invalidation model: BUY below zone.low; SELL above zone.high.</w:t>
      </w:r>
    </w:p>
    <w:p>
      <w:pPr>
        <w:pStyle w:val="ListBullet"/>
      </w:pPr>
      <w:r>
        <w:t>Entry timeout / missed breakout / terminal Point-A conditions can release or terminalize the lifecycle according to the active code path.</w:t>
      </w:r>
    </w:p>
    <w:p>
      <w:pPr>
        <w:pStyle w:val="ListBullet"/>
      </w:pPr>
      <w:r>
        <w:t>Order failure/timeout releases reserved execution/risk state according to executor cleanup policy.</w:t>
      </w:r>
    </w:p>
    <w:p>
      <w:pPr>
        <w:pStyle w:val="ListBullet"/>
      </w:pPr>
      <w:r>
        <w:t>Broker close reconciliation closes local lifecycle only with broker/deal evidence; missing ticket without a deal is not enough to invent a close.</w:t>
      </w:r>
    </w:p>
    <w:p>
      <w:pPr>
        <w:pStyle w:val="ListBullet"/>
      </w:pPr>
      <w:r>
        <w:t>Existing frozen watches are not automatically migrated when SR geometry algorithms change; lifecycle reset/migration must be deliberate.</w:t>
      </w:r>
    </w:p>
    <w:p>
      <w:pPr>
        <w:pStyle w:val="Heading1"/>
      </w:pPr>
      <w:r>
        <w:t>12. Executor, Risk and MT5 Boundary</w:t>
      </w:r>
    </w:p>
    <w:p>
      <w:r>
        <w:t>The executor consumes the frozen/confirmed lifecycle; it is not a second zone selector.</w:t>
      </w:r>
    </w:p>
    <w:p>
      <w:pPr>
        <w:pStyle w:val="ListBullet"/>
      </w:pPr>
      <w:r>
        <w:t>Duplicate execution claim key prevents duplicate entry processing.</w:t>
      </w:r>
    </w:p>
    <w:p>
      <w:pPr>
        <w:pStyle w:val="ListBullet"/>
      </w:pPr>
      <w:r>
        <w:t>Same-symbol-active guard checks both Redis open state and broker positions.</w:t>
      </w:r>
    </w:p>
    <w:p>
      <w:pPr>
        <w:pStyle w:val="ListBullet"/>
      </w:pPr>
      <w:r>
        <w:t>Prop sizing is PROP_ONLY; configuration read failure or zero prop quantity blocks rather than falling back to legacy fixed lots.</w:t>
      </w:r>
    </w:p>
    <w:p>
      <w:pPr>
        <w:pStyle w:val="ListBullet"/>
      </w:pPr>
      <w:r>
        <w:t>Risk reservation is reconciled against live broker tickets to avoid double reservation.</w:t>
      </w:r>
    </w:p>
    <w:p>
      <w:pPr>
        <w:pStyle w:val="ListBullet"/>
      </w:pPr>
      <w:r>
        <w:t>ORDER_PENDING market orders without MT5 ticket/broker position age out via timeout; pending LIMIT/STOP orders require expiry policy.</w:t>
      </w:r>
    </w:p>
    <w:p>
      <w:pPr>
        <w:pStyle w:val="ListBullet"/>
      </w:pPr>
      <w:r>
        <w:t>Broker SL/TP is synchronized back into open-trade state; broker is authoritative for actual position SL/TP.</w:t>
      </w:r>
    </w:p>
    <w:p>
      <w:pPr>
        <w:pStyle w:val="ListBullet"/>
      </w:pPr>
      <w:r>
        <w:t>Broker-close recovery uses MT5 deal/history evidence. A locally tracked ticket absent from broker snapshot but lacking a deal is not automatically marked closed.</w:t>
      </w:r>
    </w:p>
    <w:p>
      <w:pPr>
        <w:pStyle w:val="Heading1"/>
      </w:pPr>
      <w:r>
        <w:t>13. Position Management and Defensive Exit</w:t>
      </w:r>
    </w:p>
    <w:p>
      <w:r>
        <w:t>Profit/BE protection remains owned by the dedicated position manager. Executor-side macro protection acts on losing trades and should not race an already protective broker SL.</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EAF7"/>
          </w:tcPr>
          <w:p>
            <w:r/>
            <w:r>
              <w:rPr>
                <w:rFonts w:ascii="Aptos" w:hAnsi="Aptos"/>
                <w:b/>
                <w:sz w:val="16"/>
              </w:rPr>
              <w:t>Mechanism</w:t>
            </w:r>
          </w:p>
        </w:tc>
        <w:tc>
          <w:tcPr>
            <w:tcW w:type="dxa" w:w="6768"/>
            <w:vAlign w:val="center"/>
            <w:shd w:fill="D9EAF7"/>
          </w:tcPr>
          <w:p>
            <w:r/>
            <w:r>
              <w:rPr>
                <w:rFonts w:ascii="Aptos" w:hAnsi="Aptos"/>
                <w:b/>
                <w:sz w:val="16"/>
              </w:rPr>
              <w:t>Current behavior</w:t>
            </w:r>
          </w:p>
        </w:tc>
      </w:tr>
      <w:tr>
        <w:tc>
          <w:tcPr>
            <w:tcW w:type="dxa" w:w="3456"/>
            <w:vAlign w:val="center"/>
          </w:tcPr>
          <w:p>
            <w:r/>
            <w:r>
              <w:rPr>
                <w:rFonts w:ascii="Aptos" w:hAnsi="Aptos"/>
                <w:b w:val="0"/>
                <w:sz w:val="15"/>
              </w:rPr>
              <w:t>Break-even / profit protection</w:t>
            </w:r>
          </w:p>
        </w:tc>
        <w:tc>
          <w:tcPr>
            <w:tcW w:type="dxa" w:w="6768"/>
            <w:vAlign w:val="center"/>
          </w:tcPr>
          <w:p>
            <w:r/>
            <w:r>
              <w:rPr>
                <w:rFonts w:ascii="Aptos" w:hAnsi="Aptos"/>
                <w:b w:val="0"/>
                <w:sz w:val="15"/>
              </w:rPr>
              <w:t>Owned by position_manager; symbol-specific trigger/buffer configuration.</w:t>
            </w:r>
          </w:p>
        </w:tc>
      </w:tr>
      <w:tr>
        <w:tc>
          <w:tcPr>
            <w:tcW w:type="dxa" w:w="3456"/>
            <w:vAlign w:val="center"/>
          </w:tcPr>
          <w:p>
            <w:r/>
            <w:r>
              <w:rPr>
                <w:rFonts w:ascii="Aptos" w:hAnsi="Aptos"/>
                <w:b w:val="0"/>
                <w:sz w:val="15"/>
              </w:rPr>
              <w:t>Adverse DXY H1 early review</w:t>
            </w:r>
          </w:p>
        </w:tc>
        <w:tc>
          <w:tcPr>
            <w:tcW w:type="dxa" w:w="6768"/>
            <w:vAlign w:val="center"/>
          </w:tcPr>
          <w:p>
            <w:r/>
            <w:r>
              <w:rPr>
                <w:rFonts w:ascii="Aptos" w:hAnsi="Aptos"/>
                <w:b w:val="0"/>
                <w:sz w:val="15"/>
              </w:rPr>
              <w:t>Eligible around current_r &lt;= -0.15R when confirmed adverse macro state is present.</w:t>
            </w:r>
          </w:p>
        </w:tc>
      </w:tr>
      <w:tr>
        <w:tc>
          <w:tcPr>
            <w:tcW w:type="dxa" w:w="3456"/>
            <w:vAlign w:val="center"/>
          </w:tcPr>
          <w:p>
            <w:r/>
            <w:r>
              <w:rPr>
                <w:rFonts w:ascii="Aptos" w:hAnsi="Aptos"/>
                <w:b w:val="0"/>
                <w:sz w:val="15"/>
              </w:rPr>
              <w:t>Hard defensive loss exit</w:t>
            </w:r>
          </w:p>
        </w:tc>
        <w:tc>
          <w:tcPr>
            <w:tcW w:type="dxa" w:w="6768"/>
            <w:vAlign w:val="center"/>
          </w:tcPr>
          <w:p>
            <w:r/>
            <w:r>
              <w:rPr>
                <w:rFonts w:ascii="Aptos" w:hAnsi="Aptos"/>
                <w:b w:val="0"/>
                <w:sz w:val="15"/>
              </w:rPr>
              <w:t>At current_r &lt;= -0.50R regardless of DXY, subject to current production guard conditions.</w:t>
            </w:r>
          </w:p>
        </w:tc>
      </w:tr>
      <w:tr>
        <w:tc>
          <w:tcPr>
            <w:tcW w:type="dxa" w:w="3456"/>
            <w:vAlign w:val="center"/>
          </w:tcPr>
          <w:p>
            <w:r/>
            <w:r>
              <w:rPr>
                <w:rFonts w:ascii="Aptos" w:hAnsi="Aptos"/>
                <w:b w:val="0"/>
                <w:sz w:val="15"/>
              </w:rPr>
              <w:t>Already protective broker SL</w:t>
            </w:r>
          </w:p>
        </w:tc>
        <w:tc>
          <w:tcPr>
            <w:tcW w:type="dxa" w:w="6768"/>
            <w:vAlign w:val="center"/>
          </w:tcPr>
          <w:p>
            <w:r/>
            <w:r>
              <w:rPr>
                <w:rFonts w:ascii="Aptos" w:hAnsi="Aptos"/>
                <w:b w:val="0"/>
                <w:sz w:val="15"/>
              </w:rPr>
              <w:t>Do not race the dedicated position manager when SL already protects entry/profit.</w:t>
            </w:r>
          </w:p>
        </w:tc>
      </w:tr>
    </w:tbl>
    <w:p/>
    <w:p>
      <w:pPr>
        <w:pStyle w:val="Heading1"/>
      </w:pPr>
      <w:r>
        <w:t>14. OHLC and Time Contract</w:t>
      </w:r>
    </w:p>
    <w:p>
      <w:r>
        <w:t>Correct candle identity is foundational to touch, RC and freshness logic. The Agent/API path now preserves explicit open and close timestamps.</w:t>
      </w:r>
    </w:p>
    <w:p>
      <w:pPr>
        <w:pStyle w:val="ListBullet"/>
      </w:pPr>
      <w:r>
        <w:t>Agent publishes t, t_open_ms and t_close_ms.</w:t>
      </w:r>
    </w:p>
    <w:p>
      <w:pPr>
        <w:pStyle w:val="ListBullet"/>
      </w:pPr>
      <w:r>
        <w:t>API schema/writer must preserve t_open_ms/t_close_ms instead of silently dropping them.</w:t>
      </w:r>
    </w:p>
    <w:p>
      <w:pPr>
        <w:pStyle w:val="ListBullet"/>
      </w:pPr>
      <w:r>
        <w:t>Legacy t is an OPEN timestamp; fallback normalization derives close = open + timeframe_ms.</w:t>
      </w:r>
    </w:p>
    <w:p>
      <w:pPr>
        <w:pStyle w:val="ListBullet"/>
      </w:pPr>
      <w:r>
        <w:t>Server receive time is used for freshness/latency; broker candle time is used for candle identity.</w:t>
      </w:r>
    </w:p>
    <w:p>
      <w:pPr>
        <w:pStyle w:val="ListBullet"/>
      </w:pPr>
      <w:r>
        <w:t>Future RC relative to the latest completed broker candle is invalid and must be rolled back.</w:t>
      </w:r>
    </w:p>
    <w:p>
      <w:pPr>
        <w:pStyle w:val="ListBullet"/>
      </w:pPr>
      <w:r>
        <w:t>Broker position/deal time_msc may encode broker wall-clock; analytics normalizes using broker timezone offset where required.</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Historical warning</w:t>
              <w:br/>
            </w:r>
            <w:r>
              <w:rPr>
                <w:sz w:val="17"/>
              </w:rPr>
              <w:t>Do not manually add one hour to old RC timestamps. If an old watch was created under the pre-fix timestamp contract, use a controlled lifecycle reset/migration rather than ad-hoc timestamp mutation.</w:t>
            </w:r>
          </w:p>
        </w:tc>
      </w:tr>
    </w:tbl>
    <w:p/>
    <w:p>
      <w:pPr>
        <w:pStyle w:val="Heading1"/>
      </w:pPr>
      <w:r>
        <w:t>15. UI / Opportunity Presentation Contract</w:t>
      </w:r>
    </w:p>
    <w:p>
      <w:r>
        <w:t>The UI should display the execution owner, not merely the newest fresh discovery candidate.</w:t>
      </w:r>
    </w:p>
    <w:p>
      <w:pPr>
        <w:pStyle w:val="ListBullet"/>
      </w:pPr>
      <w:r>
        <w:t>Direction: current lifecycle owner.</w:t>
      </w:r>
    </w:p>
    <w:p>
      <w:pPr>
        <w:pStyle w:val="ListBullet"/>
      </w:pPr>
      <w:r>
        <w:t>Frozen Zone: zone_used when post-touch.</w:t>
      </w:r>
    </w:p>
    <w:p>
      <w:pPr>
        <w:pStyle w:val="ListBullet"/>
      </w:pPr>
      <w:r>
        <w:t>State: REV_WATCH / REV_OK / POINT-A WAIT / later lifecycle.</w:t>
      </w:r>
    </w:p>
    <w:p>
      <w:pPr>
        <w:pStyle w:val="ListBullet"/>
      </w:pPr>
      <w:r>
        <w:t>Closed candle and required reclaim condition while waiting for RC.</w:t>
      </w:r>
    </w:p>
    <w:p>
      <w:pPr>
        <w:pStyle w:val="ListBullet"/>
      </w:pPr>
      <w:r>
        <w:t>Reversal candle and entry trigger after REV_OK.</w:t>
      </w:r>
    </w:p>
    <w:p>
      <w:pPr>
        <w:pStyle w:val="ListBullet"/>
      </w:pPr>
      <w:r>
        <w:t>Fresh SR can be shown as analytics/context, but must be visually distinguished from frozen execution ownership.</w:t>
      </w:r>
    </w:p>
    <w:p>
      <w:r>
        <w:t>Known observability quirks to remember: Redis may say state=WATCH while the gate correctly presents REV_WATCH because LIVE_TOUCH evidence is the semantic authority. watch_reused may also be true in same-call creation/reuse paths and should not by itself be treated as proof of an old lifecycle.</w:t>
      </w:r>
    </w:p>
    <w:p>
      <w:pPr>
        <w:pStyle w:val="Heading1"/>
      </w:pPr>
      <w:r>
        <w:t>16. 10 Sep 2026 Live Ownership Validation</w:t>
      </w:r>
    </w:p>
    <w:p>
      <w:r>
        <w:t>After implementing touch-evidence ownership, the compute service and main API were restarted and the six-symbol production scope was recomputed. The observed owner matched the expected hierarchy in every case.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D9EAF7"/>
          </w:tcPr>
          <w:p>
            <w:r/>
            <w:r>
              <w:rPr>
                <w:rFonts w:ascii="Aptos" w:hAnsi="Aptos"/>
                <w:b/>
                <w:sz w:val="16"/>
              </w:rPr>
              <w:t>Symbol</w:t>
            </w:r>
          </w:p>
        </w:tc>
        <w:tc>
          <w:tcPr>
            <w:tcW w:type="dxa" w:w="2880"/>
            <w:vAlign w:val="center"/>
            <w:shd w:fill="D9EAF7"/>
          </w:tcPr>
          <w:p>
            <w:r/>
            <w:r>
              <w:rPr>
                <w:rFonts w:ascii="Aptos" w:hAnsi="Aptos"/>
                <w:b/>
                <w:sz w:val="16"/>
              </w:rPr>
              <w:t>Observed owner</w:t>
            </w:r>
          </w:p>
        </w:tc>
        <w:tc>
          <w:tcPr>
            <w:tcW w:type="dxa" w:w="5040"/>
            <w:vAlign w:val="center"/>
            <w:shd w:fill="D9EAF7"/>
          </w:tcPr>
          <w:p>
            <w:r/>
            <w:r>
              <w:rPr>
                <w:rFonts w:ascii="Aptos" w:hAnsi="Aptos"/>
                <w:b/>
                <w:sz w:val="16"/>
              </w:rPr>
              <w:t>Why it won</w:t>
            </w:r>
          </w:p>
        </w:tc>
        <w:tc>
          <w:tcPr>
            <w:tcW w:type="dxa" w:w="936"/>
            <w:vAlign w:val="center"/>
            <w:shd w:fill="D9EAF7"/>
          </w:tcPr>
          <w:p>
            <w:r/>
            <w:r>
              <w:rPr>
                <w:rFonts w:ascii="Aptos" w:hAnsi="Aptos"/>
                <w:b/>
                <w:sz w:val="16"/>
              </w:rPr>
              <w:t>Result</w:t>
            </w:r>
          </w:p>
        </w:tc>
      </w:tr>
      <w:tr>
        <w:tc>
          <w:tcPr>
            <w:tcW w:type="dxa" w:w="1440"/>
            <w:vAlign w:val="center"/>
          </w:tcPr>
          <w:p>
            <w:r/>
            <w:r>
              <w:rPr>
                <w:rFonts w:ascii="Aptos" w:hAnsi="Aptos"/>
                <w:b w:val="0"/>
                <w:sz w:val="15"/>
              </w:rPr>
              <w:t>XAUUSD</w:t>
            </w:r>
          </w:p>
        </w:tc>
        <w:tc>
          <w:tcPr>
            <w:tcW w:type="dxa" w:w="2880"/>
            <w:vAlign w:val="center"/>
          </w:tcPr>
          <w:p>
            <w:r/>
            <w:r>
              <w:rPr>
                <w:rFonts w:ascii="Aptos" w:hAnsi="Aptos"/>
                <w:b w:val="0"/>
                <w:sz w:val="15"/>
              </w:rPr>
              <w:t>BUY REV_OK / REV_LOCKED</w:t>
            </w:r>
          </w:p>
        </w:tc>
        <w:tc>
          <w:tcPr>
            <w:tcW w:type="dxa" w:w="5040"/>
            <w:vAlign w:val="center"/>
          </w:tcPr>
          <w:p>
            <w:r/>
            <w:r>
              <w:rPr>
                <w:rFonts w:ascii="Aptos" w:hAnsi="Aptos"/>
                <w:b w:val="0"/>
                <w:sz w:val="15"/>
              </w:rPr>
              <w:t>REV_OK rank 60 beat opposite touched SELL rank 55.</w:t>
            </w:r>
          </w:p>
        </w:tc>
        <w:tc>
          <w:tcPr>
            <w:tcW w:type="dxa" w:w="936"/>
            <w:vAlign w:val="center"/>
          </w:tcPr>
          <w:p>
            <w:r/>
            <w:r>
              <w:rPr>
                <w:rFonts w:ascii="Aptos" w:hAnsi="Aptos"/>
                <w:b w:val="0"/>
                <w:sz w:val="15"/>
              </w:rPr>
              <w:t>PASS</w:t>
            </w:r>
          </w:p>
        </w:tc>
      </w:tr>
      <w:tr>
        <w:tc>
          <w:tcPr>
            <w:tcW w:type="dxa" w:w="1440"/>
            <w:vAlign w:val="center"/>
          </w:tcPr>
          <w:p>
            <w:r/>
            <w:r>
              <w:rPr>
                <w:rFonts w:ascii="Aptos" w:hAnsi="Aptos"/>
                <w:b w:val="0"/>
                <w:sz w:val="15"/>
              </w:rPr>
              <w:t>EURUSD</w:t>
            </w:r>
          </w:p>
        </w:tc>
        <w:tc>
          <w:tcPr>
            <w:tcW w:type="dxa" w:w="2880"/>
            <w:vAlign w:val="center"/>
          </w:tcPr>
          <w:p>
            <w:r/>
            <w:r>
              <w:rPr>
                <w:rFonts w:ascii="Aptos" w:hAnsi="Aptos"/>
                <w:b w:val="0"/>
                <w:sz w:val="15"/>
              </w:rPr>
              <w:t>BUY touched/frozen</w:t>
            </w:r>
          </w:p>
        </w:tc>
        <w:tc>
          <w:tcPr>
            <w:tcW w:type="dxa" w:w="5040"/>
            <w:vAlign w:val="center"/>
          </w:tcPr>
          <w:p>
            <w:r/>
            <w:r>
              <w:rPr>
                <w:rFonts w:ascii="Aptos" w:hAnsi="Aptos"/>
                <w:b w:val="0"/>
                <w:sz w:val="15"/>
              </w:rPr>
              <w:t>Single genuine LIVE_TOUCH BUY remained frozen despite fresh SR recomputation.</w:t>
            </w:r>
          </w:p>
        </w:tc>
        <w:tc>
          <w:tcPr>
            <w:tcW w:type="dxa" w:w="936"/>
            <w:vAlign w:val="center"/>
          </w:tcPr>
          <w:p>
            <w:r/>
            <w:r>
              <w:rPr>
                <w:rFonts w:ascii="Aptos" w:hAnsi="Aptos"/>
                <w:b w:val="0"/>
                <w:sz w:val="15"/>
              </w:rPr>
              <w:t>PASS</w:t>
            </w:r>
          </w:p>
        </w:tc>
      </w:tr>
      <w:tr>
        <w:tc>
          <w:tcPr>
            <w:tcW w:type="dxa" w:w="1440"/>
            <w:vAlign w:val="center"/>
          </w:tcPr>
          <w:p>
            <w:r/>
            <w:r>
              <w:rPr>
                <w:rFonts w:ascii="Aptos" w:hAnsi="Aptos"/>
                <w:b w:val="0"/>
                <w:sz w:val="15"/>
              </w:rPr>
              <w:t>USDJPY</w:t>
            </w:r>
          </w:p>
        </w:tc>
        <w:tc>
          <w:tcPr>
            <w:tcW w:type="dxa" w:w="2880"/>
            <w:vAlign w:val="center"/>
          </w:tcPr>
          <w:p>
            <w:r/>
            <w:r>
              <w:rPr>
                <w:rFonts w:ascii="Aptos" w:hAnsi="Aptos"/>
                <w:b w:val="0"/>
                <w:sz w:val="15"/>
              </w:rPr>
              <w:t>SELL REV_OK / REV_LOCKED</w:t>
            </w:r>
          </w:p>
        </w:tc>
        <w:tc>
          <w:tcPr>
            <w:tcW w:type="dxa" w:w="5040"/>
            <w:vAlign w:val="center"/>
          </w:tcPr>
          <w:p>
            <w:r/>
            <w:r>
              <w:rPr>
                <w:rFonts w:ascii="Aptos" w:hAnsi="Aptos"/>
                <w:b w:val="0"/>
                <w:sz w:val="15"/>
              </w:rPr>
              <w:t>REV_OK rank 60 beat touched BUY.</w:t>
            </w:r>
          </w:p>
        </w:tc>
        <w:tc>
          <w:tcPr>
            <w:tcW w:type="dxa" w:w="936"/>
            <w:vAlign w:val="center"/>
          </w:tcPr>
          <w:p>
            <w:r/>
            <w:r>
              <w:rPr>
                <w:rFonts w:ascii="Aptos" w:hAnsi="Aptos"/>
                <w:b w:val="0"/>
                <w:sz w:val="15"/>
              </w:rPr>
              <w:t>PASS</w:t>
            </w:r>
          </w:p>
        </w:tc>
      </w:tr>
      <w:tr>
        <w:tc>
          <w:tcPr>
            <w:tcW w:type="dxa" w:w="1440"/>
            <w:vAlign w:val="center"/>
          </w:tcPr>
          <w:p>
            <w:r/>
            <w:r>
              <w:rPr>
                <w:rFonts w:ascii="Aptos" w:hAnsi="Aptos"/>
                <w:b w:val="0"/>
                <w:sz w:val="15"/>
              </w:rPr>
              <w:t>GBPUSD</w:t>
            </w:r>
          </w:p>
        </w:tc>
        <w:tc>
          <w:tcPr>
            <w:tcW w:type="dxa" w:w="2880"/>
            <w:vAlign w:val="center"/>
          </w:tcPr>
          <w:p>
            <w:r/>
            <w:r>
              <w:rPr>
                <w:rFonts w:ascii="Aptos" w:hAnsi="Aptos"/>
                <w:b w:val="0"/>
                <w:sz w:val="15"/>
              </w:rPr>
              <w:t>SELL touched/frozen</w:t>
            </w:r>
          </w:p>
        </w:tc>
        <w:tc>
          <w:tcPr>
            <w:tcW w:type="dxa" w:w="5040"/>
            <w:vAlign w:val="center"/>
          </w:tcPr>
          <w:p>
            <w:r/>
            <w:r>
              <w:rPr>
                <w:rFonts w:ascii="Aptos" w:hAnsi="Aptos"/>
                <w:b w:val="0"/>
                <w:sz w:val="15"/>
              </w:rPr>
              <w:t>Both sides touched; newer SELL started_ms won equal rank 55.</w:t>
            </w:r>
          </w:p>
        </w:tc>
        <w:tc>
          <w:tcPr>
            <w:tcW w:type="dxa" w:w="936"/>
            <w:vAlign w:val="center"/>
          </w:tcPr>
          <w:p>
            <w:r/>
            <w:r>
              <w:rPr>
                <w:rFonts w:ascii="Aptos" w:hAnsi="Aptos"/>
                <w:b w:val="0"/>
                <w:sz w:val="15"/>
              </w:rPr>
              <w:t>PASS</w:t>
            </w:r>
          </w:p>
        </w:tc>
      </w:tr>
      <w:tr>
        <w:tc>
          <w:tcPr>
            <w:tcW w:type="dxa" w:w="1440"/>
            <w:vAlign w:val="center"/>
          </w:tcPr>
          <w:p>
            <w:r/>
            <w:r>
              <w:rPr>
                <w:rFonts w:ascii="Aptos" w:hAnsi="Aptos"/>
                <w:b w:val="0"/>
                <w:sz w:val="15"/>
              </w:rPr>
              <w:t>USDCAD</w:t>
            </w:r>
          </w:p>
        </w:tc>
        <w:tc>
          <w:tcPr>
            <w:tcW w:type="dxa" w:w="2880"/>
            <w:vAlign w:val="center"/>
          </w:tcPr>
          <w:p>
            <w:r/>
            <w:r>
              <w:rPr>
                <w:rFonts w:ascii="Aptos" w:hAnsi="Aptos"/>
                <w:b w:val="0"/>
                <w:sz w:val="15"/>
              </w:rPr>
              <w:t>SELL POINT_A_WAIT</w:t>
            </w:r>
          </w:p>
        </w:tc>
        <w:tc>
          <w:tcPr>
            <w:tcW w:type="dxa" w:w="5040"/>
            <w:vAlign w:val="center"/>
          </w:tcPr>
          <w:p>
            <w:r/>
            <w:r>
              <w:rPr>
                <w:rFonts w:ascii="Aptos" w:hAnsi="Aptos"/>
                <w:b w:val="0"/>
                <w:sz w:val="15"/>
              </w:rPr>
              <w:t>ENTRY_BLOCKED* rank 70 beat touched BUY; DXY_NOT_CLEAR held entry.</w:t>
            </w:r>
          </w:p>
        </w:tc>
        <w:tc>
          <w:tcPr>
            <w:tcW w:type="dxa" w:w="936"/>
            <w:vAlign w:val="center"/>
          </w:tcPr>
          <w:p>
            <w:r/>
            <w:r>
              <w:rPr>
                <w:rFonts w:ascii="Aptos" w:hAnsi="Aptos"/>
                <w:b w:val="0"/>
                <w:sz w:val="15"/>
              </w:rPr>
              <w:t>PASS</w:t>
            </w:r>
          </w:p>
        </w:tc>
      </w:tr>
      <w:tr>
        <w:tc>
          <w:tcPr>
            <w:tcW w:type="dxa" w:w="1440"/>
            <w:vAlign w:val="center"/>
          </w:tcPr>
          <w:p>
            <w:r/>
            <w:r>
              <w:rPr>
                <w:rFonts w:ascii="Aptos" w:hAnsi="Aptos"/>
                <w:b w:val="0"/>
                <w:sz w:val="15"/>
              </w:rPr>
              <w:t>USDCHF</w:t>
            </w:r>
          </w:p>
        </w:tc>
        <w:tc>
          <w:tcPr>
            <w:tcW w:type="dxa" w:w="2880"/>
            <w:vAlign w:val="center"/>
          </w:tcPr>
          <w:p>
            <w:r/>
            <w:r>
              <w:rPr>
                <w:rFonts w:ascii="Aptos" w:hAnsi="Aptos"/>
                <w:b w:val="0"/>
                <w:sz w:val="15"/>
              </w:rPr>
              <w:t>BUY touched/frozen</w:t>
            </w:r>
          </w:p>
        </w:tc>
        <w:tc>
          <w:tcPr>
            <w:tcW w:type="dxa" w:w="5040"/>
            <w:vAlign w:val="center"/>
          </w:tcPr>
          <w:p>
            <w:r/>
            <w:r>
              <w:rPr>
                <w:rFonts w:ascii="Aptos" w:hAnsi="Aptos"/>
                <w:b w:val="0"/>
                <w:sz w:val="15"/>
              </w:rPr>
              <w:t>Both sides touched; newer BUY started_ms won equal rank 55.</w:t>
            </w:r>
          </w:p>
        </w:tc>
        <w:tc>
          <w:tcPr>
            <w:tcW w:type="dxa" w:w="936"/>
            <w:vAlign w:val="center"/>
          </w:tcPr>
          <w:p>
            <w:r/>
            <w:r>
              <w:rPr>
                <w:rFonts w:ascii="Aptos" w:hAnsi="Aptos"/>
                <w:b w:val="0"/>
                <w:sz w:val="15"/>
              </w:rPr>
              <w:t>PASS</w:t>
            </w:r>
          </w:p>
        </w:tc>
      </w:tr>
    </w:tbl>
    <w:p/>
    <w:p>
      <w:r>
        <w:t>EURUSD also proved geometry freeze across recomputation: its frozen BUY zone remained 1.16349-1.16426 while fresh BUY/SR candidate geometry moved elsewhere. XAUUSD proved that later REV_OK ownership is stronger than an opposite touched watch. USDCAD proved Point-A WAIT remains stronger than an opposite touched watch.</w:t>
      </w:r>
    </w:p>
    <w:tbl>
      <w:tblPr>
        <w:tblStyle w:val="TableGrid"/>
        <w:tblW w:type="auto" w:w="0"/>
        <w:tblLook w:firstColumn="1" w:firstRow="1" w:lastColumn="0" w:lastRow="0" w:noHBand="0" w:noVBand="1" w:val="04A0"/>
      </w:tblPr>
      <w:tblGrid>
        <w:gridCol w:w="10166"/>
      </w:tblGrid>
      <w:tr>
        <w:tc>
          <w:tcPr>
            <w:tcW w:type="dxa" w:w="10166"/>
            <w:shd w:fill="E2F0D9"/>
          </w:tcPr>
          <w:p>
            <w:r/>
            <w:r>
              <w:rPr>
                <w:b/>
                <w:color w:val="1F4E79"/>
                <w:sz w:val="18"/>
              </w:rPr>
              <w:t>Validation conclusion</w:t>
              <w:br/>
            </w:r>
            <w:r>
              <w:rPr>
                <w:sz w:val="17"/>
              </w:rPr>
              <w:t>Production behavior matched the intended hierarchy: pre-touch discovery is dynamic; actual touch freezes execution ownership; REV_OK and later lifecycle states outrank touched watches; Point-A WAIT remains protected; PRICE_TOO_FAR re-arm retains its deliberate opposite-structure exception.</w:t>
            </w:r>
          </w:p>
        </w:tc>
      </w:tr>
    </w:tbl>
    <w:p/>
    <w:p>
      <w:pPr>
        <w:pStyle w:val="Heading1"/>
      </w:pPr>
      <w:r>
        <w:t>17. Diagnostic Runbook</w:t>
      </w:r>
    </w:p>
    <w:p>
      <w:pPr>
        <w:pStyle w:val="Heading2"/>
      </w:pPr>
      <w:r>
        <w:t>17.1 First question: what is the actual owner?</w:t>
      </w:r>
    </w:p>
    <w:p>
      <w:pPr>
        <w:pStyle w:val="CodeBlock"/>
      </w:pPr>
      <w:r>
        <w:t>redis-cli --scan --pattern "xtl:zone:watch:${UID_XTL}:*:H1" | sort</w:t>
        <w:br/>
        <w:t># For each key inspect:</w:t>
        <w:br/>
        <w:t># state, trade_state, direction, started_ms,</w:t>
        <w:br/>
        <w:t># touch_open_ms, touch_close_ms, touch_source,</w:t>
        <w:br/>
        <w:t># rev_ok_ms, point_a_rc_rearm_reason,</w:t>
        <w:br/>
        <w:t># point_a_last_retired_rc_ms, zone_used</w:t>
      </w:r>
    </w:p>
    <w:p>
      <w:pPr>
        <w:pStyle w:val="Heading2"/>
      </w:pPr>
      <w:r>
        <w:t>17.2 Compute-path validation</w:t>
      </w:r>
    </w:p>
    <w:p>
      <w:pPr>
        <w:pStyle w:val="CodeBlock"/>
      </w:pPr>
      <w:r>
        <w:t># Use internal oppt-compute endpoint with OPPT_INTERNAL_TOKEN.</w:t>
        <w:br/>
        <w:t># Extract per symbol:</w:t>
        <w:br/>
        <w:t>decision, signal, gate,</w:t>
        <w:br/>
        <w:t>entry_gate.resolved_dir,</w:t>
        <w:br/>
        <w:t>entry_gate.stage,</w:t>
        <w:br/>
        <w:t>entry_gate.watch_key,</w:t>
        <w:br/>
        <w:t>entry_gate.watch_reused,</w:t>
        <w:br/>
        <w:t>entry_gate.zone_used,</w:t>
        <w:br/>
        <w:t>entry_gate.actionable_candidates</w:t>
      </w:r>
    </w:p>
    <w:p>
      <w:pPr>
        <w:pStyle w:val="Heading2"/>
      </w:pPr>
      <w:r>
        <w:t>17.3 Executor validation</w:t>
      </w:r>
    </w:p>
    <w:p>
      <w:pPr>
        <w:pStyle w:val="CodeBlock"/>
      </w:pPr>
      <w:r>
        <w:t>journalctl -u xauapi --since "3 minutes ago" --no-pager |</w:t>
        <w:br/>
        <w:t>grep -E 'XAUUSD|EURUSD|USDJPY|GBPUSD|USDCAD|USDCHF|POINT_A|BREAK_CHECK|SKIP_ENTRY_MISSING_RC'</w:t>
      </w:r>
    </w:p>
    <w:p>
      <w:pPr>
        <w:pStyle w:val="Heading2"/>
      </w:pPr>
      <w:r>
        <w:t>17.4 Restart ownership</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D9EAF7"/>
          </w:tcPr>
          <w:p>
            <w:r/>
            <w:r>
              <w:rPr>
                <w:rFonts w:ascii="Aptos" w:hAnsi="Aptos"/>
                <w:b/>
                <w:sz w:val="16"/>
              </w:rPr>
              <w:t>Changed file/path</w:t>
            </w:r>
          </w:p>
        </w:tc>
        <w:tc>
          <w:tcPr>
            <w:tcW w:type="dxa" w:w="5760"/>
            <w:vAlign w:val="center"/>
            <w:shd w:fill="D9EAF7"/>
          </w:tcPr>
          <w:p>
            <w:r/>
            <w:r>
              <w:rPr>
                <w:rFonts w:ascii="Aptos" w:hAnsi="Aptos"/>
                <w:b/>
                <w:sz w:val="16"/>
              </w:rPr>
              <w:t>Service that must reload it</w:t>
            </w:r>
          </w:p>
        </w:tc>
      </w:tr>
      <w:tr>
        <w:tc>
          <w:tcPr>
            <w:tcW w:type="dxa" w:w="4608"/>
            <w:vAlign w:val="center"/>
          </w:tcPr>
          <w:p>
            <w:r/>
            <w:r>
              <w:rPr>
                <w:rFonts w:ascii="Aptos" w:hAnsi="Aptos"/>
                <w:b w:val="0"/>
                <w:sz w:val="15"/>
              </w:rPr>
              <w:t>zone_entry_gate.py / trend/SR compute imports</w:t>
            </w:r>
          </w:p>
        </w:tc>
        <w:tc>
          <w:tcPr>
            <w:tcW w:type="dxa" w:w="5760"/>
            <w:vAlign w:val="center"/>
          </w:tcPr>
          <w:p>
            <w:r/>
            <w:r>
              <w:rPr>
                <w:rFonts w:ascii="Aptos" w:hAnsi="Aptos"/>
                <w:b w:val="0"/>
                <w:sz w:val="15"/>
              </w:rPr>
              <w:t>xtl-oppt-compute (and any other long-lived process importing the module).</w:t>
            </w:r>
          </w:p>
        </w:tc>
      </w:tr>
      <w:tr>
        <w:tc>
          <w:tcPr>
            <w:tcW w:type="dxa" w:w="4608"/>
            <w:vAlign w:val="center"/>
          </w:tcPr>
          <w:p>
            <w:r/>
            <w:r>
              <w:rPr>
                <w:rFonts w:ascii="Aptos" w:hAnsi="Aptos"/>
                <w:b w:val="0"/>
                <w:sz w:val="15"/>
              </w:rPr>
              <w:t>oppt_executor.py / main API executor path</w:t>
            </w:r>
          </w:p>
        </w:tc>
        <w:tc>
          <w:tcPr>
            <w:tcW w:type="dxa" w:w="5760"/>
            <w:vAlign w:val="center"/>
          </w:tcPr>
          <w:p>
            <w:r/>
            <w:r>
              <w:rPr>
                <w:rFonts w:ascii="Aptos" w:hAnsi="Aptos"/>
                <w:b w:val="0"/>
                <w:sz w:val="15"/>
              </w:rPr>
              <w:t>xauapi.</w:t>
            </w:r>
          </w:p>
        </w:tc>
      </w:tr>
      <w:tr>
        <w:tc>
          <w:tcPr>
            <w:tcW w:type="dxa" w:w="4608"/>
            <w:vAlign w:val="center"/>
          </w:tcPr>
          <w:p>
            <w:r/>
            <w:r>
              <w:rPr>
                <w:rFonts w:ascii="Aptos" w:hAnsi="Aptos"/>
                <w:b w:val="0"/>
                <w:sz w:val="15"/>
              </w:rPr>
              <w:t>Comment-only edit</w:t>
            </w:r>
          </w:p>
        </w:tc>
        <w:tc>
          <w:tcPr>
            <w:tcW w:type="dxa" w:w="5760"/>
            <w:vAlign w:val="center"/>
          </w:tcPr>
          <w:p>
            <w:r/>
            <w:r>
              <w:rPr>
                <w:rFonts w:ascii="Aptos" w:hAnsi="Aptos"/>
                <w:b w:val="0"/>
                <w:sz w:val="15"/>
              </w:rPr>
              <w:t>No restart required for runtime behavior.</w:t>
            </w:r>
          </w:p>
        </w:tc>
      </w:tr>
    </w:tbl>
    <w:p/>
    <w:p>
      <w:r>
        <w:t>Always run py_compile before restart. Restart one service at a time, validate the intended path, then continue.</w:t>
      </w:r>
    </w:p>
    <w:p>
      <w:pPr>
        <w:pStyle w:val="Heading1"/>
      </w:pPr>
      <w:r>
        <w:t>18. Non-Negotiable Regression Checklist</w:t>
      </w:r>
    </w:p>
    <w:p>
      <w:pPr>
        <w:pStyle w:val="ListBullet"/>
      </w:pPr>
      <w:r>
        <w:t>Fresh direction may change before touch; it must not replace a genuine post-touch frozen owner.</w:t>
      </w:r>
    </w:p>
    <w:p>
      <w:pPr>
        <w:pStyle w:val="ListBullet"/>
      </w:pPr>
      <w:r>
        <w:t>zone_used must not mutate because trend_sr later discovers a different/better zone.</w:t>
      </w:r>
    </w:p>
    <w:p>
      <w:pPr>
        <w:pStyle w:val="ListBullet"/>
      </w:pPr>
      <w:r>
        <w:t>REV_OK must come only from a completed candle reclaim of the frozen zone.</w:t>
      </w:r>
    </w:p>
    <w:p>
      <w:pPr>
        <w:pStyle w:val="ListBullet"/>
      </w:pPr>
      <w:r>
        <w:t>Entry must require the stored RC breakout in production breakout mode.</w:t>
      </w:r>
    </w:p>
    <w:p>
      <w:pPr>
        <w:pStyle w:val="ListBullet"/>
      </w:pPr>
      <w:r>
        <w:t>Point-A canonical live DXY must use REAL_DXY and preserve WAIT for unclear/neutral macro state.</w:t>
      </w:r>
    </w:p>
    <w:p>
      <w:pPr>
        <w:pStyle w:val="ListBullet"/>
      </w:pPr>
      <w:r>
        <w:t>Canonical EXTREME / directional_room_atr &lt;= 0.20 / INSIDE_RESISTANCE-type constraints must propagate to the final Point-A decision rather than being hidden by secondary analytics.</w:t>
      </w:r>
    </w:p>
    <w:p>
      <w:pPr>
        <w:pStyle w:val="ListBullet"/>
      </w:pPr>
      <w:r>
        <w:t>REV_OK (60) must outrank touched frozen (55); ENTRY_BLOCKED* (70) must outrank both.</w:t>
      </w:r>
    </w:p>
    <w:p>
      <w:pPr>
        <w:pStyle w:val="ListBullet"/>
      </w:pPr>
      <w:r>
        <w:t>Equal-rank opposite touched watches must resolve deterministically by started_ms, not dict/BUY-first iteration order.</w:t>
      </w:r>
    </w:p>
    <w:p>
      <w:pPr>
        <w:pStyle w:val="ListBullet"/>
      </w:pPr>
      <w:r>
        <w:t>PRICE_TOO_FAR re-arm must not resurrect a retired RC and must yield to a fresh definite opposite H1 structural direction.</w:t>
      </w:r>
    </w:p>
    <w:p>
      <w:pPr>
        <w:pStyle w:val="ListBullet"/>
      </w:pPr>
      <w:r>
        <w:t>DIST_GUARD must use the same touch-frozen ownership predicate as the primary resolver.</w:t>
      </w:r>
    </w:p>
    <w:p>
      <w:pPr>
        <w:pStyle w:val="ListBullet"/>
      </w:pPr>
      <w:r>
        <w:t>Timestamp normalization must treat legacy t as candle OPEN and preserve explicit t_open_ms/t_close_ms.</w:t>
      </w:r>
    </w:p>
    <w:p>
      <w:pPr>
        <w:pStyle w:val="ListBullet"/>
      </w:pPr>
      <w:r>
        <w:t>Missing broker position alone must not fabricate a local close without deal/history evidence.</w:t>
      </w:r>
    </w:p>
    <w:p>
      <w:pPr>
        <w:pStyle w:val="ListBullet"/>
      </w:pPr>
      <w:r>
        <w:t>Prop sizing must not fail open to legacy fixed quantity.</w:t>
      </w:r>
    </w:p>
    <w:p>
      <w:pPr>
        <w:pStyle w:val="ListBullet"/>
      </w:pPr>
      <w:r>
        <w:t>Any future SR width/cluster change must not auto-migrate existing frozen watches.</w:t>
      </w:r>
    </w:p>
    <w:p>
      <w:pPr>
        <w:pStyle w:val="Heading1"/>
      </w:pPr>
      <w:r>
        <w:t>19. Source-of-Truth Map</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D9EAF7"/>
          </w:tcPr>
          <w:p>
            <w:r/>
            <w:r>
              <w:rPr>
                <w:rFonts w:ascii="Aptos" w:hAnsi="Aptos"/>
                <w:b/>
                <w:sz w:val="16"/>
              </w:rPr>
              <w:t>Concern</w:t>
            </w:r>
          </w:p>
        </w:tc>
        <w:tc>
          <w:tcPr>
            <w:tcW w:type="dxa" w:w="5760"/>
            <w:vAlign w:val="center"/>
            <w:shd w:fill="D9EAF7"/>
          </w:tcPr>
          <w:p>
            <w:r/>
            <w:r>
              <w:rPr>
                <w:rFonts w:ascii="Aptos" w:hAnsi="Aptos"/>
                <w:b/>
                <w:sz w:val="16"/>
              </w:rPr>
              <w:t>Primary code/data owner</w:t>
            </w:r>
          </w:p>
        </w:tc>
      </w:tr>
      <w:tr>
        <w:tc>
          <w:tcPr>
            <w:tcW w:type="dxa" w:w="4608"/>
            <w:vAlign w:val="center"/>
          </w:tcPr>
          <w:p>
            <w:r/>
            <w:r>
              <w:rPr>
                <w:rFonts w:ascii="Aptos" w:hAnsi="Aptos"/>
                <w:b w:val="0"/>
                <w:sz w:val="15"/>
              </w:rPr>
              <w:t>SR inventory / clustering / scored SR</w:t>
            </w:r>
          </w:p>
        </w:tc>
        <w:tc>
          <w:tcPr>
            <w:tcW w:type="dxa" w:w="5760"/>
            <w:vAlign w:val="center"/>
          </w:tcPr>
          <w:p>
            <w:r/>
            <w:r>
              <w:rPr>
                <w:rFonts w:ascii="Aptos" w:hAnsi="Aptos"/>
                <w:b w:val="0"/>
                <w:sz w:val="15"/>
              </w:rPr>
              <w:t>trend_sr.py</w:t>
            </w:r>
          </w:p>
        </w:tc>
      </w:tr>
      <w:tr>
        <w:tc>
          <w:tcPr>
            <w:tcW w:type="dxa" w:w="4608"/>
            <w:vAlign w:val="center"/>
          </w:tcPr>
          <w:p>
            <w:r/>
            <w:r>
              <w:rPr>
                <w:rFonts w:ascii="Aptos" w:hAnsi="Aptos"/>
                <w:b w:val="0"/>
                <w:sz w:val="15"/>
              </w:rPr>
              <w:t>Actionable geometry, direction, touch/freeze, RC, Point-A presentation/ownership</w:t>
            </w:r>
          </w:p>
        </w:tc>
        <w:tc>
          <w:tcPr>
            <w:tcW w:type="dxa" w:w="5760"/>
            <w:vAlign w:val="center"/>
          </w:tcPr>
          <w:p>
            <w:r/>
            <w:r>
              <w:rPr>
                <w:rFonts w:ascii="Aptos" w:hAnsi="Aptos"/>
                <w:b w:val="0"/>
                <w:sz w:val="15"/>
              </w:rPr>
              <w:t>zone_entry_gate.py</w:t>
            </w:r>
          </w:p>
        </w:tc>
      </w:tr>
      <w:tr>
        <w:tc>
          <w:tcPr>
            <w:tcW w:type="dxa" w:w="4608"/>
            <w:vAlign w:val="center"/>
          </w:tcPr>
          <w:p>
            <w:r/>
            <w:r>
              <w:rPr>
                <w:rFonts w:ascii="Aptos" w:hAnsi="Aptos"/>
                <w:b w:val="0"/>
                <w:sz w:val="15"/>
              </w:rPr>
              <w:t>Opportunity API normalization/presentation</w:t>
            </w:r>
          </w:p>
        </w:tc>
        <w:tc>
          <w:tcPr>
            <w:tcW w:type="dxa" w:w="5760"/>
            <w:vAlign w:val="center"/>
          </w:tcPr>
          <w:p>
            <w:r/>
            <w:r>
              <w:rPr>
                <w:rFonts w:ascii="Aptos" w:hAnsi="Aptos"/>
                <w:b w:val="0"/>
                <w:sz w:val="15"/>
              </w:rPr>
              <w:t>trend_endpoints.py / oppt_compute_app.py</w:t>
            </w:r>
          </w:p>
        </w:tc>
      </w:tr>
      <w:tr>
        <w:tc>
          <w:tcPr>
            <w:tcW w:type="dxa" w:w="4608"/>
            <w:vAlign w:val="center"/>
          </w:tcPr>
          <w:p>
            <w:r/>
            <w:r>
              <w:rPr>
                <w:rFonts w:ascii="Aptos" w:hAnsi="Aptos"/>
                <w:b w:val="0"/>
                <w:sz w:val="15"/>
              </w:rPr>
              <w:t>DXY H1 flow / turn state</w:t>
            </w:r>
          </w:p>
        </w:tc>
        <w:tc>
          <w:tcPr>
            <w:tcW w:type="dxa" w:w="5760"/>
            <w:vAlign w:val="center"/>
          </w:tcPr>
          <w:p>
            <w:r/>
            <w:r>
              <w:rPr>
                <w:rFonts w:ascii="Aptos" w:hAnsi="Aptos"/>
                <w:b w:val="0"/>
                <w:sz w:val="15"/>
              </w:rPr>
              <w:t>dxy_tracker.py and DXY H1 feature/state producers</w:t>
            </w:r>
          </w:p>
        </w:tc>
      </w:tr>
      <w:tr>
        <w:tc>
          <w:tcPr>
            <w:tcW w:type="dxa" w:w="4608"/>
            <w:vAlign w:val="center"/>
          </w:tcPr>
          <w:p>
            <w:r/>
            <w:r>
              <w:rPr>
                <w:rFonts w:ascii="Aptos" w:hAnsi="Aptos"/>
                <w:b w:val="0"/>
                <w:sz w:val="15"/>
              </w:rPr>
              <w:t>DXY M15 entry health / turn tracking</w:t>
            </w:r>
          </w:p>
        </w:tc>
        <w:tc>
          <w:tcPr>
            <w:tcW w:type="dxa" w:w="5760"/>
            <w:vAlign w:val="center"/>
          </w:tcPr>
          <w:p>
            <w:r/>
            <w:r>
              <w:rPr>
                <w:rFonts w:ascii="Aptos" w:hAnsi="Aptos"/>
                <w:b w:val="0"/>
                <w:sz w:val="15"/>
              </w:rPr>
              <w:t>dxy_m15_tracker.py</w:t>
            </w:r>
          </w:p>
        </w:tc>
      </w:tr>
      <w:tr>
        <w:tc>
          <w:tcPr>
            <w:tcW w:type="dxa" w:w="4608"/>
            <w:vAlign w:val="center"/>
          </w:tcPr>
          <w:p>
            <w:r/>
            <w:r>
              <w:rPr>
                <w:rFonts w:ascii="Aptos" w:hAnsi="Aptos"/>
                <w:b w:val="0"/>
                <w:sz w:val="15"/>
              </w:rPr>
              <w:t>Risk, execution, broker reconciliation, early-loss macro protection</w:t>
            </w:r>
          </w:p>
        </w:tc>
        <w:tc>
          <w:tcPr>
            <w:tcW w:type="dxa" w:w="5760"/>
            <w:vAlign w:val="center"/>
          </w:tcPr>
          <w:p>
            <w:r/>
            <w:r>
              <w:rPr>
                <w:rFonts w:ascii="Aptos" w:hAnsi="Aptos"/>
                <w:b w:val="0"/>
                <w:sz w:val="15"/>
              </w:rPr>
              <w:t>oppt_executor.py</w:t>
            </w:r>
          </w:p>
        </w:tc>
      </w:tr>
      <w:tr>
        <w:tc>
          <w:tcPr>
            <w:tcW w:type="dxa" w:w="4608"/>
            <w:vAlign w:val="center"/>
          </w:tcPr>
          <w:p>
            <w:r/>
            <w:r>
              <w:rPr>
                <w:rFonts w:ascii="Aptos" w:hAnsi="Aptos"/>
                <w:b w:val="0"/>
                <w:sz w:val="15"/>
              </w:rPr>
              <w:t>Break-even / profit protection</w:t>
            </w:r>
          </w:p>
        </w:tc>
        <w:tc>
          <w:tcPr>
            <w:tcW w:type="dxa" w:w="5760"/>
            <w:vAlign w:val="center"/>
          </w:tcPr>
          <w:p>
            <w:r/>
            <w:r>
              <w:rPr>
                <w:rFonts w:ascii="Aptos" w:hAnsi="Aptos"/>
                <w:b w:val="0"/>
                <w:sz w:val="15"/>
              </w:rPr>
              <w:t>position_manager.py</w:t>
            </w:r>
          </w:p>
        </w:tc>
      </w:tr>
      <w:tr>
        <w:tc>
          <w:tcPr>
            <w:tcW w:type="dxa" w:w="4608"/>
            <w:vAlign w:val="center"/>
          </w:tcPr>
          <w:p>
            <w:r/>
            <w:r>
              <w:rPr>
                <w:rFonts w:ascii="Aptos" w:hAnsi="Aptos"/>
                <w:b w:val="0"/>
                <w:sz w:val="15"/>
              </w:rPr>
              <w:t>Agent OHLC/account/position/deal ingestion</w:t>
            </w:r>
          </w:p>
        </w:tc>
        <w:tc>
          <w:tcPr>
            <w:tcW w:type="dxa" w:w="5760"/>
            <w:vAlign w:val="center"/>
          </w:tcPr>
          <w:p>
            <w:r/>
            <w:r>
              <w:rPr>
                <w:rFonts w:ascii="Aptos" w:hAnsi="Aptos"/>
                <w:b w:val="0"/>
                <w:sz w:val="15"/>
              </w:rPr>
              <w:t>MT5 agent + routes_devices.py / mt5_client.py</w:t>
            </w:r>
          </w:p>
        </w:tc>
      </w:tr>
      <w:tr>
        <w:tc>
          <w:tcPr>
            <w:tcW w:type="dxa" w:w="4608"/>
            <w:vAlign w:val="center"/>
          </w:tcPr>
          <w:p>
            <w:r/>
            <w:r>
              <w:rPr>
                <w:rFonts w:ascii="Aptos" w:hAnsi="Aptos"/>
                <w:b w:val="0"/>
                <w:sz w:val="15"/>
              </w:rPr>
              <w:t>Persistent lifecycle state</w:t>
            </w:r>
          </w:p>
        </w:tc>
        <w:tc>
          <w:tcPr>
            <w:tcW w:type="dxa" w:w="5760"/>
            <w:vAlign w:val="center"/>
          </w:tcPr>
          <w:p>
            <w:r/>
            <w:r>
              <w:rPr>
                <w:rFonts w:ascii="Aptos" w:hAnsi="Aptos"/>
                <w:b w:val="0"/>
                <w:sz w:val="15"/>
              </w:rPr>
              <w:t>Redis xtl:zone:watch:* and execution/open/deal keys</w:t>
            </w:r>
          </w:p>
        </w:tc>
      </w:tr>
    </w:tbl>
    <w:p/>
    <w:p>
      <w:pPr>
        <w:pStyle w:val="Heading1"/>
      </w:pPr>
      <w:r>
        <w:t>20. Change History Captured by This Baseline</w:t>
      </w:r>
    </w:p>
    <w:p>
      <w:r>
        <w:t>This reference incorporates the production hardening discussed and validated through 10 Sep 2026:</w:t>
      </w:r>
    </w:p>
    <w:p>
      <w:pPr>
        <w:pStyle w:val="ListBullet"/>
      </w:pPr>
      <w:r>
        <w:t>OHLC open/close timestamp preservation and legacy-open fallback.</w:t>
      </w:r>
    </w:p>
    <w:p>
      <w:pPr>
        <w:pStyle w:val="ListBullet"/>
      </w:pPr>
      <w:r>
        <w:t>Recent SR cluster width hardening and broad structural execution slicing.</w:t>
      </w:r>
    </w:p>
    <w:p>
      <w:pPr>
        <w:pStyle w:val="ListBullet"/>
      </w:pPr>
      <w:r>
        <w:t>Compression tie handling when both sides are simultaneously inside actionable zones.</w:t>
      </w:r>
    </w:p>
    <w:p>
      <w:pPr>
        <w:pStyle w:val="ListBullet"/>
      </w:pPr>
      <w:r>
        <w:t>Hard/conditional watch ownership separation and DIST_GUARD anti-resurrection.</w:t>
      </w:r>
    </w:p>
    <w:p>
      <w:pPr>
        <w:pStyle w:val="ListBullet"/>
      </w:pPr>
      <w:r>
        <w:t>Point-A PRICE_TOO_FAR re-arm direction-flip retirement.</w:t>
      </w:r>
    </w:p>
    <w:p>
      <w:pPr>
        <w:pStyle w:val="ListBullet"/>
      </w:pPr>
      <w:r>
        <w:t>Post-touch ownership based on LIVE_TOUCH evidence, including Redis WATCH / semantic REV_WATCH mismatch.</w:t>
      </w:r>
    </w:p>
    <w:p>
      <w:pPr>
        <w:pStyle w:val="ListBullet"/>
      </w:pPr>
      <w:r>
        <w:t>All-six-symbol live ownership regression after service restarts.</w:t>
      </w:r>
    </w:p>
    <w:p>
      <w:pPr>
        <w:pStyle w:val="ListBullet"/>
      </w:pPr>
      <w:r>
        <w:t>Point-A canonical DXY structure propagation and mature-move/opposing-SR protection.</w:t>
      </w:r>
    </w:p>
    <w:p>
      <w:pPr>
        <w:pStyle w:val="ListBullet"/>
      </w:pPr>
      <w:r>
        <w:t>Executor duplicate/risk/prop-sizing/broker-reconciliation hardening and staged losing-trade protection.</w:t>
      </w:r>
    </w:p>
    <w:p>
      <w:pPr>
        <w:pStyle w:val="Heading1"/>
      </w:pPr>
      <w:r>
        <w:t>21. Future Change Discipline</w:t>
      </w:r>
    </w:p>
    <w:p>
      <w:r>
        <w:t>For future modifications, first identify which layer owns the behavior. Do not patch a downstream layer to compensate for an upstream contract violation. A zone problem belongs to SR/geometry; an ownership problem belongs to zone_entry_gate; a macro entry-health problem belongs to Point-A; a broker/risk/order problem belongs to the executor/agent boundary.</w:t>
      </w:r>
    </w:p>
    <w:p>
      <w:pPr>
        <w:pStyle w:val="CodeBlock"/>
      </w:pPr>
      <w:r>
        <w:t>Required change sequence:</w:t>
        <w:br/>
        <w:t>1. State the invariant being changed.</w:t>
        <w:br/>
        <w:t>2. Identify exact owner function/file.</w:t>
        <w:br/>
        <w:t>3. Patch one path only.</w:t>
        <w:br/>
        <w:t>4. py_compile.</w:t>
        <w:br/>
        <w:t>5. Restart only the importing service.</w:t>
        <w:br/>
        <w:t>6. Replay/compute the affected symbol.</w:t>
        <w:br/>
        <w:t>7. Inspect Redis owner + gate output + executor logs.</w:t>
        <w:br/>
        <w:t>8. Run all-six-symbol regression when ownership/lifecycle code changed.</w:t>
        <w:br/>
        <w:t>9. Update this architecture reference if the contract changed.</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F4E79"/>
                <w:sz w:val="18"/>
              </w:rPr>
              <w:t>Baseline rule</w:t>
              <w:br/>
            </w:r>
            <w:r>
              <w:rPr>
                <w:sz w:val="17"/>
              </w:rPr>
              <w:t>If future code behavior conflicts with this document, do not assume the document or code is automatically correct. Reconcile against the explicit strategy invariant and current production evidence, then update both code comments and this reference together.</w:t>
            </w:r>
          </w:p>
        </w:tc>
      </w:tr>
    </w:tbl>
    <w:p/>
    <w:p>
      <w:pPr>
        <w:pStyle w:val="Heading1"/>
      </w:pPr>
      <w:r>
        <w:t>Appendix A. Compact State Glossary</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D9EAF7"/>
          </w:tcPr>
          <w:p>
            <w:r/>
            <w:r>
              <w:rPr>
                <w:rFonts w:ascii="Aptos" w:hAnsi="Aptos"/>
                <w:b/>
                <w:sz w:val="16"/>
              </w:rPr>
              <w:t>State / presentation</w:t>
            </w:r>
          </w:p>
        </w:tc>
        <w:tc>
          <w:tcPr>
            <w:tcW w:type="dxa" w:w="6624"/>
            <w:vAlign w:val="center"/>
            <w:shd w:fill="D9EAF7"/>
          </w:tcPr>
          <w:p>
            <w:r/>
            <w:r>
              <w:rPr>
                <w:rFonts w:ascii="Aptos" w:hAnsi="Aptos"/>
                <w:b/>
                <w:sz w:val="16"/>
              </w:rPr>
              <w:t>Interpretation</w:t>
            </w:r>
          </w:p>
        </w:tc>
      </w:tr>
      <w:tr>
        <w:tc>
          <w:tcPr>
            <w:tcW w:type="dxa" w:w="3744"/>
            <w:vAlign w:val="center"/>
          </w:tcPr>
          <w:p>
            <w:r/>
            <w:r>
              <w:rPr>
                <w:rFonts w:ascii="Aptos" w:hAnsi="Aptos"/>
                <w:b w:val="0"/>
                <w:sz w:val="15"/>
              </w:rPr>
              <w:t>WATCHING</w:t>
            </w:r>
          </w:p>
        </w:tc>
        <w:tc>
          <w:tcPr>
            <w:tcW w:type="dxa" w:w="6624"/>
            <w:vAlign w:val="center"/>
          </w:tcPr>
          <w:p>
            <w:r/>
            <w:r>
              <w:rPr>
                <w:rFonts w:ascii="Aptos" w:hAnsi="Aptos"/>
                <w:b w:val="0"/>
                <w:sz w:val="15"/>
              </w:rPr>
              <w:t>Fresh discovery only; no committed frozen lifecycle.</w:t>
            </w:r>
          </w:p>
        </w:tc>
      </w:tr>
      <w:tr>
        <w:tc>
          <w:tcPr>
            <w:tcW w:type="dxa" w:w="3744"/>
            <w:vAlign w:val="center"/>
          </w:tcPr>
          <w:p>
            <w:r/>
            <w:r>
              <w:rPr>
                <w:rFonts w:ascii="Aptos" w:hAnsi="Aptos"/>
                <w:b w:val="0"/>
                <w:sz w:val="15"/>
              </w:rPr>
              <w:t>WAIT_ZONE_TOUCH</w:t>
            </w:r>
          </w:p>
        </w:tc>
        <w:tc>
          <w:tcPr>
            <w:tcW w:type="dxa" w:w="6624"/>
            <w:vAlign w:val="center"/>
          </w:tcPr>
          <w:p>
            <w:r/>
            <w:r>
              <w:rPr>
                <w:rFonts w:ascii="Aptos" w:hAnsi="Aptos"/>
                <w:b w:val="0"/>
                <w:sz w:val="15"/>
              </w:rPr>
              <w:t>Actionable zone selected but no genuine touch freeze yet.</w:t>
            </w:r>
          </w:p>
        </w:tc>
      </w:tr>
      <w:tr>
        <w:tc>
          <w:tcPr>
            <w:tcW w:type="dxa" w:w="3744"/>
            <w:vAlign w:val="center"/>
          </w:tcPr>
          <w:p>
            <w:r/>
            <w:r>
              <w:rPr>
                <w:rFonts w:ascii="Aptos" w:hAnsi="Aptos"/>
                <w:b w:val="0"/>
                <w:sz w:val="15"/>
              </w:rPr>
              <w:t>WATCH + LIVE_TOUCH</w:t>
            </w:r>
          </w:p>
        </w:tc>
        <w:tc>
          <w:tcPr>
            <w:tcW w:type="dxa" w:w="6624"/>
            <w:vAlign w:val="center"/>
          </w:tcPr>
          <w:p>
            <w:r/>
            <w:r>
              <w:rPr>
                <w:rFonts w:ascii="Aptos" w:hAnsi="Aptos"/>
                <w:b w:val="0"/>
                <w:sz w:val="15"/>
              </w:rPr>
              <w:t>Persisted schema for a genuine frozen post-touch setup; semantically REV_WATCH.</w:t>
            </w:r>
          </w:p>
        </w:tc>
      </w:tr>
      <w:tr>
        <w:tc>
          <w:tcPr>
            <w:tcW w:type="dxa" w:w="3744"/>
            <w:vAlign w:val="center"/>
          </w:tcPr>
          <w:p>
            <w:r/>
            <w:r>
              <w:rPr>
                <w:rFonts w:ascii="Aptos" w:hAnsi="Aptos"/>
                <w:b w:val="0"/>
                <w:sz w:val="15"/>
              </w:rPr>
              <w:t>REV_WATCH / FZ</w:t>
            </w:r>
          </w:p>
        </w:tc>
        <w:tc>
          <w:tcPr>
            <w:tcW w:type="dxa" w:w="6624"/>
            <w:vAlign w:val="center"/>
          </w:tcPr>
          <w:p>
            <w:r/>
            <w:r>
              <w:rPr>
                <w:rFonts w:ascii="Aptos" w:hAnsi="Aptos"/>
                <w:b w:val="0"/>
                <w:sz w:val="15"/>
              </w:rPr>
              <w:t>Frozen zone waiting for completed candle reclaim.</w:t>
            </w:r>
          </w:p>
        </w:tc>
      </w:tr>
      <w:tr>
        <w:tc>
          <w:tcPr>
            <w:tcW w:type="dxa" w:w="3744"/>
            <w:vAlign w:val="center"/>
          </w:tcPr>
          <w:p>
            <w:r/>
            <w:r>
              <w:rPr>
                <w:rFonts w:ascii="Aptos" w:hAnsi="Aptos"/>
                <w:b w:val="0"/>
                <w:sz w:val="15"/>
              </w:rPr>
              <w:t>REV_OK / REV_LOCKED</w:t>
            </w:r>
          </w:p>
        </w:tc>
        <w:tc>
          <w:tcPr>
            <w:tcW w:type="dxa" w:w="6624"/>
            <w:vAlign w:val="center"/>
          </w:tcPr>
          <w:p>
            <w:r/>
            <w:r>
              <w:rPr>
                <w:rFonts w:ascii="Aptos" w:hAnsi="Aptos"/>
                <w:b w:val="0"/>
                <w:sz w:val="15"/>
              </w:rPr>
              <w:t>Reversal candle confirmed and locked; waiting live breakout / Point-A path.</w:t>
            </w:r>
          </w:p>
        </w:tc>
      </w:tr>
      <w:tr>
        <w:tc>
          <w:tcPr>
            <w:tcW w:type="dxa" w:w="3744"/>
            <w:vAlign w:val="center"/>
          </w:tcPr>
          <w:p>
            <w:r/>
            <w:r>
              <w:rPr>
                <w:rFonts w:ascii="Aptos" w:hAnsi="Aptos"/>
                <w:b w:val="0"/>
                <w:sz w:val="15"/>
              </w:rPr>
              <w:t>ENTRY_BLOCKED_POINT_A_WAIT</w:t>
            </w:r>
          </w:p>
        </w:tc>
        <w:tc>
          <w:tcPr>
            <w:tcW w:type="dxa" w:w="6624"/>
            <w:vAlign w:val="center"/>
          </w:tcPr>
          <w:p>
            <w:r/>
            <w:r>
              <w:rPr>
                <w:rFonts w:ascii="Aptos" w:hAnsi="Aptos"/>
                <w:b w:val="0"/>
                <w:sz w:val="15"/>
              </w:rPr>
              <w:t>Confirmed setup held for Point-A re-evaluation.</w:t>
            </w:r>
          </w:p>
        </w:tc>
      </w:tr>
      <w:tr>
        <w:tc>
          <w:tcPr>
            <w:tcW w:type="dxa" w:w="3744"/>
            <w:vAlign w:val="center"/>
          </w:tcPr>
          <w:p>
            <w:r/>
            <w:r>
              <w:rPr>
                <w:rFonts w:ascii="Aptos" w:hAnsi="Aptos"/>
                <w:b w:val="0"/>
                <w:sz w:val="15"/>
              </w:rPr>
              <w:t>ENTRY_BLOCKED_POINT_A_BLOCK</w:t>
            </w:r>
          </w:p>
        </w:tc>
        <w:tc>
          <w:tcPr>
            <w:tcW w:type="dxa" w:w="6624"/>
            <w:vAlign w:val="center"/>
          </w:tcPr>
          <w:p>
            <w:r/>
            <w:r>
              <w:rPr>
                <w:rFonts w:ascii="Aptos" w:hAnsi="Aptos"/>
                <w:b w:val="0"/>
                <w:sz w:val="15"/>
              </w:rPr>
              <w:t>Terminal Point-A block.</w:t>
            </w:r>
          </w:p>
        </w:tc>
      </w:tr>
      <w:tr>
        <w:tc>
          <w:tcPr>
            <w:tcW w:type="dxa" w:w="3744"/>
            <w:vAlign w:val="center"/>
          </w:tcPr>
          <w:p>
            <w:r/>
            <w:r>
              <w:rPr>
                <w:rFonts w:ascii="Aptos" w:hAnsi="Aptos"/>
                <w:b w:val="0"/>
                <w:sz w:val="15"/>
              </w:rPr>
              <w:t>ENTRY_BLOCKED_POINT_A_EXPIRED</w:t>
            </w:r>
          </w:p>
        </w:tc>
        <w:tc>
          <w:tcPr>
            <w:tcW w:type="dxa" w:w="6624"/>
            <w:vAlign w:val="center"/>
          </w:tcPr>
          <w:p>
            <w:r/>
            <w:r>
              <w:rPr>
                <w:rFonts w:ascii="Aptos" w:hAnsi="Aptos"/>
                <w:b w:val="0"/>
                <w:sz w:val="15"/>
              </w:rPr>
              <w:t>Terminal Point-A expiry.</w:t>
            </w:r>
          </w:p>
        </w:tc>
      </w:tr>
      <w:tr>
        <w:tc>
          <w:tcPr>
            <w:tcW w:type="dxa" w:w="3744"/>
            <w:vAlign w:val="center"/>
          </w:tcPr>
          <w:p>
            <w:r/>
            <w:r>
              <w:rPr>
                <w:rFonts w:ascii="Aptos" w:hAnsi="Aptos"/>
                <w:b w:val="0"/>
                <w:sz w:val="15"/>
              </w:rPr>
              <w:t>ENTRY_READY</w:t>
            </w:r>
          </w:p>
        </w:tc>
        <w:tc>
          <w:tcPr>
            <w:tcW w:type="dxa" w:w="6624"/>
            <w:vAlign w:val="center"/>
          </w:tcPr>
          <w:p>
            <w:r/>
            <w:r>
              <w:rPr>
                <w:rFonts w:ascii="Aptos" w:hAnsi="Aptos"/>
                <w:b w:val="0"/>
                <w:sz w:val="15"/>
              </w:rPr>
              <w:t>All entry conditions passed; executor can progress.</w:t>
            </w:r>
          </w:p>
        </w:tc>
      </w:tr>
      <w:tr>
        <w:tc>
          <w:tcPr>
            <w:tcW w:type="dxa" w:w="3744"/>
            <w:vAlign w:val="center"/>
          </w:tcPr>
          <w:p>
            <w:r/>
            <w:r>
              <w:rPr>
                <w:rFonts w:ascii="Aptos" w:hAnsi="Aptos"/>
                <w:b w:val="0"/>
                <w:sz w:val="15"/>
              </w:rPr>
              <w:t>ORDER_PENDING</w:t>
            </w:r>
          </w:p>
        </w:tc>
        <w:tc>
          <w:tcPr>
            <w:tcW w:type="dxa" w:w="6624"/>
            <w:vAlign w:val="center"/>
          </w:tcPr>
          <w:p>
            <w:r/>
            <w:r>
              <w:rPr>
                <w:rFonts w:ascii="Aptos" w:hAnsi="Aptos"/>
                <w:b w:val="0"/>
                <w:sz w:val="15"/>
              </w:rPr>
              <w:t>Broker order lifecycle pending/awaiting acknowledgement or fill.</w:t>
            </w:r>
          </w:p>
        </w:tc>
      </w:tr>
      <w:tr>
        <w:tc>
          <w:tcPr>
            <w:tcW w:type="dxa" w:w="3744"/>
            <w:vAlign w:val="center"/>
          </w:tcPr>
          <w:p>
            <w:r/>
            <w:r>
              <w:rPr>
                <w:rFonts w:ascii="Aptos" w:hAnsi="Aptos"/>
                <w:b w:val="0"/>
                <w:sz w:val="15"/>
              </w:rPr>
              <w:t>TRADE_ACTIVE</w:t>
            </w:r>
          </w:p>
        </w:tc>
        <w:tc>
          <w:tcPr>
            <w:tcW w:type="dxa" w:w="6624"/>
            <w:vAlign w:val="center"/>
          </w:tcPr>
          <w:p>
            <w:r/>
            <w:r>
              <w:rPr>
                <w:rFonts w:ascii="Aptos" w:hAnsi="Aptos"/>
                <w:b w:val="0"/>
                <w:sz w:val="15"/>
              </w:rPr>
              <w:t>Broker/live position owns lifecycle.</w:t>
            </w:r>
          </w:p>
        </w:tc>
      </w:tr>
      <w:tr>
        <w:tc>
          <w:tcPr>
            <w:tcW w:type="dxa" w:w="3744"/>
            <w:vAlign w:val="center"/>
          </w:tcPr>
          <w:p>
            <w:r/>
            <w:r>
              <w:rPr>
                <w:rFonts w:ascii="Aptos" w:hAnsi="Aptos"/>
                <w:b w:val="0"/>
                <w:sz w:val="15"/>
              </w:rPr>
              <w:t>BROKER_CLOSE_PENDING</w:t>
            </w:r>
          </w:p>
        </w:tc>
        <w:tc>
          <w:tcPr>
            <w:tcW w:type="dxa" w:w="6624"/>
            <w:vAlign w:val="center"/>
          </w:tcPr>
          <w:p>
            <w:r/>
            <w:r>
              <w:rPr>
                <w:rFonts w:ascii="Aptos" w:hAnsi="Aptos"/>
                <w:b w:val="0"/>
                <w:sz w:val="15"/>
              </w:rPr>
              <w:t>Close requested/being reconciled.</w:t>
            </w:r>
          </w:p>
        </w:tc>
      </w:tr>
      <w:tr>
        <w:tc>
          <w:tcPr>
            <w:tcW w:type="dxa" w:w="3744"/>
            <w:vAlign w:val="center"/>
          </w:tcPr>
          <w:p>
            <w:r/>
            <w:r>
              <w:rPr>
                <w:rFonts w:ascii="Aptos" w:hAnsi="Aptos"/>
                <w:b w:val="0"/>
                <w:sz w:val="15"/>
              </w:rPr>
              <w:t>ZONE_INVALIDATED</w:t>
            </w:r>
          </w:p>
        </w:tc>
        <w:tc>
          <w:tcPr>
            <w:tcW w:type="dxa" w:w="6624"/>
            <w:vAlign w:val="center"/>
          </w:tcPr>
          <w:p>
            <w:r/>
            <w:r>
              <w:rPr>
                <w:rFonts w:ascii="Aptos" w:hAnsi="Aptos"/>
                <w:b w:val="0"/>
                <w:sz w:val="15"/>
              </w:rPr>
              <w:t>Frozen structural setup invalidated.</w:t>
            </w:r>
          </w:p>
        </w:tc>
      </w:tr>
      <w:tr>
        <w:tc>
          <w:tcPr>
            <w:tcW w:type="dxa" w:w="3744"/>
            <w:vAlign w:val="center"/>
          </w:tcPr>
          <w:p>
            <w:r/>
            <w:r>
              <w:rPr>
                <w:rFonts w:ascii="Aptos" w:hAnsi="Aptos"/>
                <w:b w:val="0"/>
                <w:sz w:val="15"/>
              </w:rPr>
              <w:t>MISSED_BREAKOUT / ORDER_FAILED</w:t>
            </w:r>
          </w:p>
        </w:tc>
        <w:tc>
          <w:tcPr>
            <w:tcW w:type="dxa" w:w="6624"/>
            <w:vAlign w:val="center"/>
          </w:tcPr>
          <w:p>
            <w:r/>
            <w:r>
              <w:rPr>
                <w:rFonts w:ascii="Aptos" w:hAnsi="Aptos"/>
                <w:b w:val="0"/>
                <w:sz w:val="15"/>
              </w:rPr>
              <w:t>Terminal/recovery states retained for cleanup/audit.</w:t>
            </w:r>
          </w:p>
        </w:tc>
      </w:tr>
    </w:tbl>
    <w:p/>
    <w:p>
      <w:pPr>
        <w:pStyle w:val="Heading1"/>
      </w:pPr>
      <w:r>
        <w:t>Appendix B. Evidence Basis</w:t>
      </w:r>
    </w:p>
    <w:p>
      <w:r>
        <w:t>This document was assembled from the XTL state-machine blueprint retained in the project library, the production Python snapshots and validation artifacts available in the current workspace, and the live six-symbol ownership validation performed on 10 Sep 2026. Where the older blueprint and current implementation differ, this document records the current validated production contract and explicitly notes schema quirks/exceptions.</w:t>
      </w:r>
    </w:p>
    <w:p>
      <w:r>
        <w:t>The original strategy blueprint establishes the core invariant: nearest actionable support/resistance drives direction before touch; touch freezes zone/direction/timeframe; reversal uses a closed candle; breakout uses live price; and the frozen zone is the single source of truth. The current baseline extends that design with Point-A, touch-evidence ownership ranking, DXY structure controls, DIST_GUARD consistency, and broker/executor hardening.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Production reference baseline - 10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XauTrendLab | Zone / SR / Point-A / Lifecycle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