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960"/>
        <w:jc w:val="left"/>
      </w:pPr>
      <w:r>
        <w:drawing>
          <wp:inline xmlns:a="http://schemas.openxmlformats.org/drawingml/2006/main" xmlns:pic="http://schemas.openxmlformats.org/drawingml/2006/picture">
            <wp:extent cx="1620000" cy="559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-go-public-logo-full-colou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55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DM Sans" w:hAnsi="DM Sans" w:eastAsia="DM Sans" w:cs="DM Sans"/>
          <w:b/>
          <w:color w:val="240F45"/>
          <w:sz w:val="64"/>
        </w:rPr>
        <w:t>Document title</w:t>
      </w:r>
    </w:p>
    <w:p>
      <w:pPr>
        <w:pStyle w:val="Subtitle"/>
      </w:pPr>
      <w:r>
        <w:rPr>
          <w:rFonts w:ascii="DM Sans" w:hAnsi="DM Sans" w:eastAsia="DM Sans" w:cs="DM Sans"/>
          <w:color w:val="9C67D3"/>
          <w:sz w:val="32"/>
        </w:rPr>
        <w:t>Subtitle or section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536"/>
            <w:vAlign w:val="top"/>
          </w:tcPr>
          <w:p>
            <w:pPr>
              <w:spacing w:before="0" w:after="80"/>
            </w:pPr>
            <w:r>
              <w:rPr>
                <w:rFonts w:ascii="DM Sans" w:hAnsi="DM Sans" w:eastAsia="DM Sans" w:cs="DM Sans"/>
                <w:b/>
                <w:color w:val="643791"/>
                <w:sz w:val="18"/>
              </w:rPr>
              <w:t>Prepared</w:t>
            </w:r>
          </w:p>
        </w:tc>
        <w:tc>
          <w:tcPr>
            <w:tcW w:type="dxa" w:w="4536"/>
            <w:vAlign w:val="top"/>
          </w:tcPr>
          <w:p>
            <w:pPr>
              <w:spacing w:before="0" w:after="80"/>
            </w:pPr>
            <w:r>
              <w:rPr>
                <w:rFonts w:ascii="DM Sans" w:hAnsi="DM Sans" w:eastAsia="DM Sans" w:cs="DM Sans"/>
                <w:color w:val="240F45"/>
                <w:sz w:val="22"/>
              </w:rPr>
              <w:t>Author name  ·  Team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80"/>
            </w:pPr>
            <w:r>
              <w:rPr>
                <w:rFonts w:ascii="DM Sans" w:hAnsi="DM Sans" w:eastAsia="DM Sans" w:cs="DM Sans"/>
                <w:b/>
                <w:color w:val="643791"/>
                <w:sz w:val="18"/>
              </w:rPr>
              <w:t>Date</w:t>
            </w:r>
          </w:p>
        </w:tc>
        <w:tc>
          <w:tcPr>
            <w:tcW w:type="dxa" w:w="4536"/>
            <w:vAlign w:val="top"/>
          </w:tcPr>
          <w:p>
            <w:pPr>
              <w:spacing w:before="0" w:after="80"/>
            </w:pPr>
            <w:r>
              <w:rPr>
                <w:rFonts w:ascii="DM Sans" w:hAnsi="DM Sans" w:eastAsia="DM Sans" w:cs="DM Sans"/>
                <w:color w:val="240F45"/>
                <w:sz w:val="22"/>
              </w:rPr>
            </w:r>
            <w:fldSimple w:instr="DATE \@ &quot;d MMMM yyyy&quot; \* MERGEFORMAT">
              <w:r>
                <w:rPr>
                  <w:rFonts w:ascii="DM Sans" w:hAnsi="DM Sans" w:eastAsia="DM Sans" w:cs="DM Sans"/>
                </w:rPr>
                <w:t>—</w:t>
              </w:r>
            </w:fldSimple>
          </w:p>
        </w:tc>
      </w:tr>
    </w:tbl>
    <w:p>
      <w:r>
        <w:br w:type="page"/>
      </w:r>
    </w:p>
    <w:p>
      <w:pPr>
        <w:pStyle w:val="JGPEyebrow"/>
      </w:pPr>
      <w:r>
        <w:t>Section 01</w:t>
      </w:r>
    </w:p>
    <w:p>
      <w:pPr>
        <w:pStyle w:val="Heading1"/>
      </w:pPr>
      <w:r>
        <w:t>Heading 1 — the page-level title</w:t>
      </w:r>
    </w:p>
    <w:p>
      <w:r>
        <w:t>Body copy uses DM Sans Regular at 11 pt with 1.4 line spacing. Text colour is deep-blue (#240f45), the primary text token in the brand kit. Keep paragraphs short — three to four sentences typically reads best at this size. Use this style for everything that isn't explicitly a heading, caption, or callout.</w:t>
      </w:r>
    </w:p>
    <w:p>
      <w:pPr>
        <w:pStyle w:val="Heading2"/>
      </w:pPr>
      <w:r>
        <w:t>Heading 2 — section title</w:t>
      </w:r>
    </w:p>
    <w:p>
      <w:r>
        <w:t>Another body paragraph follows so you can see how the spacing between Heading 2 and body copy lands on the page. Tighter than Heading 1 above, but still gives the eye somewhere to rest.</w:t>
      </w:r>
    </w:p>
    <w:p>
      <w:pPr>
        <w:pStyle w:val="Heading3"/>
      </w:pPr>
      <w:r>
        <w:t>Heading 3 — sub-section</w:t>
      </w:r>
    </w:p>
    <w:p>
      <w:r>
        <w:t>Use Heading 3 for nested structure inside a long section. It picks up the deep-blue brand colour at 13 pt — visually quieter than the purple Heading 2 but still clearly a heading.</w:t>
      </w:r>
    </w:p>
    <w:p>
      <w:pPr>
        <w:pStyle w:val="Heading3"/>
      </w:pPr>
      <w:r>
        <w:t>A bulleted list</w:t>
      </w:r>
    </w:p>
    <w:p>
      <w:pPr>
        <w:pStyle w:val="ListBullet"/>
      </w:pPr>
      <w:r>
        <w:rPr>
          <w:rFonts w:ascii="DM Sans" w:hAnsi="DM Sans" w:eastAsia="DM Sans" w:cs="DM Sans"/>
          <w:color w:val="240F45"/>
          <w:sz w:val="22"/>
        </w:rPr>
        <w:t>Bullets use the standard List Bullet style.</w:t>
      </w:r>
    </w:p>
    <w:p>
      <w:pPr>
        <w:pStyle w:val="ListBullet"/>
      </w:pPr>
      <w:r>
        <w:rPr>
          <w:rFonts w:ascii="DM Sans" w:hAnsi="DM Sans" w:eastAsia="DM Sans" w:cs="DM Sans"/>
          <w:color w:val="240F45"/>
          <w:sz w:val="22"/>
        </w:rPr>
        <w:t>DM Sans body settings carry through.</w:t>
      </w:r>
    </w:p>
    <w:p>
      <w:pPr>
        <w:pStyle w:val="ListBullet"/>
      </w:pPr>
      <w:r>
        <w:rPr>
          <w:rFonts w:ascii="DM Sans" w:hAnsi="DM Sans" w:eastAsia="DM Sans" w:cs="DM Sans"/>
          <w:color w:val="240F45"/>
          <w:sz w:val="22"/>
        </w:rPr>
        <w:t>Keep items parallel in structure — verb-first reads cleanest.</w:t>
      </w:r>
    </w:p>
    <w:p>
      <w:pPr>
        <w:pStyle w:val="Heading3"/>
      </w:pPr>
      <w:r>
        <w:t>A numbered list</w:t>
      </w:r>
    </w:p>
    <w:p>
      <w:pPr>
        <w:pStyle w:val="ListNumber"/>
      </w:pPr>
      <w:r>
        <w:rPr>
          <w:rFonts w:ascii="DM Sans" w:hAnsi="DM Sans" w:eastAsia="DM Sans" w:cs="DM Sans"/>
          <w:color w:val="240F45"/>
          <w:sz w:val="22"/>
        </w:rPr>
        <w:t>First step in a sequence.</w:t>
      </w:r>
    </w:p>
    <w:p>
      <w:pPr>
        <w:pStyle w:val="ListNumber"/>
      </w:pPr>
      <w:r>
        <w:rPr>
          <w:rFonts w:ascii="DM Sans" w:hAnsi="DM Sans" w:eastAsia="DM Sans" w:cs="DM Sans"/>
          <w:color w:val="240F45"/>
          <w:sz w:val="22"/>
        </w:rPr>
        <w:t>Second step — Word handles the numbering.</w:t>
      </w:r>
    </w:p>
    <w:p>
      <w:pPr>
        <w:pStyle w:val="ListNumber"/>
      </w:pPr>
      <w:r>
        <w:rPr>
          <w:rFonts w:ascii="DM Sans" w:hAnsi="DM Sans" w:eastAsia="DM Sans" w:cs="DM Sans"/>
          <w:color w:val="240F45"/>
          <w:sz w:val="22"/>
        </w:rPr>
        <w:t>Third step closes it out.</w:t>
      </w:r>
    </w:p>
    <w:p>
      <w:pPr>
        <w:pStyle w:val="Heading3"/>
      </w:pPr>
      <w:r>
        <w:t>A callout panel</w:t>
      </w:r>
    </w:p>
    <w:p>
      <w:pPr>
        <w:pStyle w:val="JGPCallout"/>
        <w:shd w:val="clear" w:color="auto" w:fill="F0F3E1"/>
        <w:pBdr>
          <w:left w:val="single" w:sz="4" w:space="4" w:color="E8E0F2"/>
          <w:right w:val="single" w:sz="4" w:space="4" w:color="E8E0F2"/>
          <w:bottom w:val="single" w:sz="4" w:space="4" w:color="E8E0F2"/>
        </w:pBdr>
      </w:pPr>
      <w:r>
        <w:rPr>
          <w:rFonts w:ascii="DM Sans" w:hAnsi="DM Sans" w:eastAsia="DM Sans" w:cs="DM Sans"/>
          <w:color w:val="240F45"/>
          <w:sz w:val="22"/>
        </w:rPr>
        <w:t>Use the JGP Callout style for a highlighted note, takeaway, or summary. The beige panel (#f0f3e1) ties back to the brand kit's chart-supporting background.</w:t>
      </w:r>
    </w:p>
    <w:p>
      <w:pPr>
        <w:pStyle w:val="Heading3"/>
      </w:pPr>
      <w:r>
        <w:t>A branded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2835"/>
        <w:gridCol w:w="2835"/>
      </w:tblGrid>
      <w:tr>
        <w:tc>
          <w:tcPr>
            <w:tcW w:type="dxa" w:w="3118"/>
            <w:shd w:val="clear" w:color="auto" w:fill="643791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35"/>
            <w:shd w:val="clear" w:color="auto" w:fill="643791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35"/>
            <w:shd w:val="clear" w:color="auto" w:fill="643791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3118"/>
            <w:shd w:val="clear" w:color="auto" w:fill="F0F3E1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color w:val="240F45"/>
                <w:sz w:val="20"/>
              </w:rPr>
              <w:t>Total applies</w:t>
            </w:r>
          </w:p>
        </w:tc>
        <w:tc>
          <w:tcPr>
            <w:tcW w:type="dxa" w:w="2835"/>
            <w:shd w:val="clear" w:color="auto" w:fill="F0F3E1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color w:val="240F45"/>
                <w:sz w:val="20"/>
              </w:rPr>
              <w:t>12,480</w:t>
            </w:r>
          </w:p>
        </w:tc>
        <w:tc>
          <w:tcPr>
            <w:tcW w:type="dxa" w:w="2835"/>
            <w:shd w:val="clear" w:color="auto" w:fill="F0F3E1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color w:val="240F45"/>
                <w:sz w:val="20"/>
              </w:rPr>
              <w:t>+18%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color w:val="240F45"/>
                <w:sz w:val="20"/>
              </w:rPr>
              <w:t>Cost per apply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color w:val="240F45"/>
                <w:sz w:val="20"/>
              </w:rPr>
              <w:t>£2.41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color w:val="240F45"/>
                <w:sz w:val="20"/>
              </w:rPr>
              <w:t>−9%</w:t>
            </w:r>
          </w:p>
        </w:tc>
      </w:tr>
      <w:tr>
        <w:tc>
          <w:tcPr>
            <w:tcW w:type="dxa" w:w="3118"/>
            <w:shd w:val="clear" w:color="auto" w:fill="F0F3E1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color w:val="240F45"/>
                <w:sz w:val="20"/>
              </w:rPr>
              <w:t>Conversion rate</w:t>
            </w:r>
          </w:p>
        </w:tc>
        <w:tc>
          <w:tcPr>
            <w:tcW w:type="dxa" w:w="2835"/>
            <w:shd w:val="clear" w:color="auto" w:fill="F0F3E1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color w:val="240F45"/>
                <w:sz w:val="20"/>
              </w:rPr>
              <w:t>4.3%</w:t>
            </w:r>
          </w:p>
        </w:tc>
        <w:tc>
          <w:tcPr>
            <w:tcW w:type="dxa" w:w="2835"/>
            <w:shd w:val="clear" w:color="auto" w:fill="F0F3E1"/>
          </w:tcPr>
          <w:p>
            <w:pPr>
              <w:spacing w:before="40" w:after="40"/>
            </w:pPr>
            <w:r>
              <w:rPr>
                <w:rFonts w:ascii="DM Sans" w:hAnsi="DM Sans" w:eastAsia="DM Sans" w:cs="DM Sans"/>
                <w:color w:val="240F45"/>
                <w:sz w:val="20"/>
              </w:rPr>
              <w:t>+0.6 pp</w:t>
            </w:r>
          </w:p>
        </w:tc>
      </w:tr>
    </w:tbl>
    <w:p>
      <w:pPr>
        <w:pStyle w:val="Caption"/>
      </w:pPr>
      <w:r>
        <w:rPr>
          <w:rFonts w:ascii="DM Sans" w:hAnsi="DM Sans" w:eastAsia="DM Sans" w:cs="DM Sans"/>
          <w:i/>
          <w:color w:val="4F4360"/>
          <w:sz w:val="18"/>
        </w:rPr>
        <w:t>Caption — small italic descriptor below figures, tables or screenshots. Uses secondary-text colour (#4f4360).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  <w:pBdr>
        <w:top w:val="single" w:sz="8" w:space="4" w:color="CBB9DF"/>
      </w:pBdr>
    </w:pPr>
    <w:r>
      <w:rPr>
        <w:rFonts w:ascii="DM Sans" w:hAnsi="DM Sans" w:eastAsia="DM Sans" w:cs="DM Sans"/>
        <w:i w:val="0"/>
        <w:color w:val="4F4360"/>
        <w:sz w:val="18"/>
      </w:rPr>
      <w:t xml:space="preserve">Page </w:t>
    </w:r>
    <w:r>
      <w:rPr>
        <w:rFonts w:ascii="DM Sans" w:hAnsi="DM Sans" w:eastAsia="DM Sans" w:cs="DM Sans"/>
        <w:b/>
        <w:color w:val="240F45"/>
        <w:sz w:val="18"/>
      </w:rPr>
    </w:r>
    <w:fldSimple w:instr="PAGE \* MERGEFORMAT">
      <w:r>
        <w:rPr>
          <w:rFonts w:ascii="DM Sans" w:hAnsi="DM Sans" w:eastAsia="DM Sans" w:cs="DM Sans"/>
        </w:rPr>
        <w:t>—</w:t>
      </w:r>
    </w:fldSimple>
    <w:r>
      <w:rPr>
        <w:rFonts w:ascii="DM Sans" w:hAnsi="DM Sans" w:eastAsia="DM Sans" w:cs="DM Sans"/>
        <w:i w:val="0"/>
        <w:color w:val="4F4360"/>
        <w:sz w:val="18"/>
      </w:rPr>
      <w:t xml:space="preserve"> of </w:t>
    </w:r>
    <w:r>
      <w:rPr>
        <w:rFonts w:ascii="DM Sans" w:hAnsi="DM Sans" w:eastAsia="DM Sans" w:cs="DM Sans"/>
        <w:b/>
        <w:color w:val="240F45"/>
        <w:sz w:val="18"/>
      </w:rPr>
    </w:r>
    <w:fldSimple w:instr="NUMPAGES \* MERGEFORMAT">
      <w:r>
        <w:rPr>
          <w:rFonts w:ascii="DM Sans" w:hAnsi="DM Sans" w:eastAsia="DM Sans" w:cs="DM Sans"/>
        </w:rPr>
        <w:t>—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DM Sans" w:hAnsi="DM Sans" w:eastAsia="DM Sans" w:cs="DM Sans"/>
        <w:i/>
        <w:color w:val="4F4360"/>
        <w:sz w:val="18"/>
      </w:rPr>
      <w:t>Jobs Go Public  ·  Document title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</w:pPr>
    <w:rPr>
      <w:rFonts w:ascii="DM Sans" w:hAnsi="DM Sans" w:eastAsia="DM Sans" w:cs="DM Sans"/>
      <w:color w:val="240F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DM Sans" w:hAnsi="DM Sans"/>
      <w:b/>
      <w:bCs/>
      <w:color w:val="240F4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DM Sans" w:hAnsi="DM Sans"/>
      <w:b w:val="0"/>
      <w:bCs/>
      <w:color w:val="6437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DM Sans" w:hAnsi="DM Sans"/>
      <w:b w:val="0"/>
      <w:bCs/>
      <w:color w:val="240F4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DM Sans" w:hAnsi="DM Sans"/>
      <w:b/>
      <w:color w:val="240F4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720"/>
    </w:pPr>
    <w:rPr>
      <w:rFonts w:asciiTheme="majorHAnsi" w:eastAsiaTheme="majorEastAsia" w:hAnsiTheme="majorHAnsi" w:cstheme="majorBidi" w:ascii="DM Sans" w:hAnsi="DM Sans"/>
      <w:b w:val="0"/>
      <w:i w:val="0"/>
      <w:iCs/>
      <w:color w:val="9C67D3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/>
    </w:pPr>
    <w:rPr>
      <w:rFonts w:ascii="DM Sans" w:hAnsi="DM Sans"/>
      <w:b/>
      <w:bCs/>
      <w:i/>
      <w:color w:val="4F436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GPEyebrow">
    <w:name w:val="JGP Eyebrow"/>
    <w:basedOn w:val="Normal"/>
    <w:pPr>
      <w:keepNext/>
      <w:spacing w:before="360" w:after="0"/>
    </w:pPr>
    <w:rPr>
      <w:rFonts w:ascii="DM Sans" w:hAnsi="DM Sans"/>
      <w:b/>
      <w:caps/>
      <w:color w:val="643791"/>
      <w:sz w:val="18"/>
    </w:rPr>
  </w:style>
  <w:style w:type="paragraph" w:customStyle="1" w:styleId="JGPCallout">
    <w:name w:val="JGP Callout"/>
    <w:basedOn w:val="Normal"/>
    <w:pPr>
      <w:spacing w:before="240" w:after="240"/>
      <w:ind w:left="170" w:right="170"/>
    </w:pPr>
    <w:rPr>
      <w:rFonts w:ascii="DM Sans" w:hAnsi="DM Sans"/>
      <w:color w:val="240F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