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D9852">
      <w:pPr>
        <w:rPr>
          <w:rFonts w:hint="eastAsia" w:ascii="仿宋" w:hAnsi="仿宋" w:eastAsia="仿宋" w:cs="仿宋"/>
          <w:lang w:val="en-US" w:eastAsia="zh-CN"/>
        </w:rPr>
      </w:pPr>
      <w:r>
        <w:rPr>
          <w:rFonts w:hint="eastAsia" w:ascii="仿宋" w:hAnsi="仿宋" w:eastAsia="仿宋" w:cs="仿宋"/>
          <w:lang w:val="en-US" w:eastAsia="zh-CN"/>
        </w:rPr>
        <w:t>Attention is all you need.【笔记】</w:t>
      </w:r>
    </w:p>
    <w:p w14:paraId="2F02C273">
      <w:pPr>
        <w:rPr>
          <w:rFonts w:hint="eastAsia" w:ascii="仿宋" w:hAnsi="仿宋" w:eastAsia="仿宋" w:cs="仿宋"/>
          <w:lang w:val="en-US" w:eastAsia="zh-CN"/>
        </w:rPr>
      </w:pPr>
    </w:p>
    <w:p w14:paraId="3EB5F088">
      <w:pPr>
        <w:jc w:val="center"/>
        <w:rPr>
          <w:rFonts w:hint="eastAsia" w:ascii="仿宋" w:hAnsi="仿宋" w:eastAsia="仿宋" w:cs="仿宋"/>
          <w:lang w:val="en-US" w:eastAsia="zh-CN"/>
        </w:rPr>
      </w:pPr>
      <w:r>
        <w:rPr>
          <w:rFonts w:hint="eastAsia" w:ascii="仿宋" w:hAnsi="仿宋" w:eastAsia="仿宋" w:cs="仿宋"/>
          <w:sz w:val="40"/>
          <w:szCs w:val="48"/>
          <w:lang w:val="en-US" w:eastAsia="zh-CN"/>
        </w:rPr>
        <w:t>注意力机制是你所需要的一切</w:t>
      </w:r>
    </w:p>
    <w:p w14:paraId="0F0F59C8">
      <w:pPr>
        <w:pStyle w:val="2"/>
        <w:bidi w:val="0"/>
        <w:rPr>
          <w:rFonts w:hint="eastAsia" w:ascii="仿宋" w:hAnsi="仿宋" w:eastAsia="仿宋" w:cs="仿宋"/>
          <w:lang w:val="en-US" w:eastAsia="zh-CN"/>
        </w:rPr>
      </w:pPr>
      <w:r>
        <w:rPr>
          <w:rFonts w:hint="eastAsia" w:ascii="仿宋" w:hAnsi="仿宋" w:eastAsia="仿宋" w:cs="仿宋"/>
          <w:lang w:val="en-US" w:eastAsia="zh-CN"/>
        </w:rPr>
        <w:t>【0】摘要</w:t>
      </w:r>
    </w:p>
    <w:p w14:paraId="12FD86A5">
      <w:pPr>
        <w:rPr>
          <w:rFonts w:hint="eastAsia" w:ascii="仿宋" w:hAnsi="仿宋" w:eastAsia="仿宋" w:cs="仿宋"/>
          <w:lang w:val="en-US" w:eastAsia="zh-CN"/>
        </w:rPr>
      </w:pPr>
      <w:r>
        <w:rPr>
          <w:rFonts w:hint="eastAsia" w:ascii="仿宋" w:hAnsi="仿宋" w:eastAsia="仿宋" w:cs="仿宋"/>
          <w:color w:val="FF0000"/>
          <w:lang w:val="en-US" w:eastAsia="zh-CN"/>
        </w:rPr>
        <w:t>主流的序列转换模型基于复杂的循环神经网络或卷积神经网络架构，通常包含编码器和解码器两部分</w:t>
      </w:r>
      <w:r>
        <w:rPr>
          <w:rFonts w:hint="eastAsia" w:ascii="仿宋" w:hAnsi="仿宋" w:eastAsia="仿宋" w:cs="仿宋"/>
          <w:lang w:val="en-US" w:eastAsia="zh-CN"/>
        </w:rPr>
        <w:t>。性能最佳的模型还会通过注意力机制连接编码器和解码器。</w:t>
      </w:r>
    </w:p>
    <w:p w14:paraId="014C02A7">
      <w:pPr>
        <w:rPr>
          <w:rFonts w:hint="eastAsia" w:ascii="仿宋" w:hAnsi="仿宋" w:eastAsia="仿宋" w:cs="仿宋"/>
          <w:lang w:val="en-US" w:eastAsia="zh-CN"/>
        </w:rPr>
      </w:pPr>
    </w:p>
    <w:p w14:paraId="6E620992">
      <w:pPr>
        <w:rPr>
          <w:rFonts w:hint="eastAsia" w:ascii="仿宋" w:hAnsi="仿宋" w:eastAsia="仿宋" w:cs="仿宋"/>
          <w:lang w:val="en-US" w:eastAsia="zh-CN"/>
        </w:rPr>
      </w:pPr>
      <w:r>
        <w:rPr>
          <w:rFonts w:hint="eastAsia" w:ascii="仿宋" w:hAnsi="仿宋" w:eastAsia="仿宋" w:cs="仿宋"/>
          <w:color w:val="FF0000"/>
          <w:lang w:val="en-US" w:eastAsia="zh-CN"/>
        </w:rPr>
        <w:t>我们提出了一种新颖而简洁的网络架构——Transformer，它完全基于注意力机制构建，彻底摒弃了循环与卷积结构</w:t>
      </w:r>
      <w:r>
        <w:rPr>
          <w:rFonts w:hint="eastAsia" w:ascii="仿宋" w:hAnsi="仿宋" w:eastAsia="仿宋" w:cs="仿宋"/>
          <w:lang w:val="en-US" w:eastAsia="zh-CN"/>
        </w:rPr>
        <w:t>。</w:t>
      </w:r>
      <w:r>
        <w:rPr>
          <w:rFonts w:hint="eastAsia" w:ascii="仿宋" w:hAnsi="仿宋" w:eastAsia="仿宋" w:cs="仿宋"/>
          <w:color w:val="FF0000"/>
          <w:lang w:val="en-US" w:eastAsia="zh-CN"/>
        </w:rPr>
        <w:t>在两个机器翻译任务上的实验表明，该模型不仅翻译质量更优，同时具备更强的并行化能力，且训练时间显著减少</w:t>
      </w:r>
      <w:r>
        <w:rPr>
          <w:rFonts w:hint="eastAsia" w:ascii="仿宋" w:hAnsi="仿宋" w:eastAsia="仿宋" w:cs="仿宋"/>
          <w:lang w:val="en-US" w:eastAsia="zh-CN"/>
        </w:rPr>
        <w:t>。</w:t>
      </w:r>
    </w:p>
    <w:p w14:paraId="3F961FD8">
      <w:pPr>
        <w:rPr>
          <w:rFonts w:hint="eastAsia" w:ascii="仿宋" w:hAnsi="仿宋" w:eastAsia="仿宋" w:cs="仿宋"/>
          <w:lang w:val="en-US" w:eastAsia="zh-CN"/>
        </w:rPr>
      </w:pPr>
    </w:p>
    <w:p w14:paraId="4675EEA6">
      <w:pPr>
        <w:rPr>
          <w:rFonts w:hint="eastAsia" w:ascii="仿宋" w:hAnsi="仿宋" w:eastAsia="仿宋" w:cs="仿宋"/>
          <w:lang w:val="en-US" w:eastAsia="zh-CN"/>
        </w:rPr>
      </w:pPr>
      <w:r>
        <w:rPr>
          <w:rFonts w:hint="eastAsia" w:ascii="仿宋" w:hAnsi="仿宋" w:eastAsia="仿宋" w:cs="仿宋"/>
          <w:lang w:val="en-US" w:eastAsia="zh-CN"/>
        </w:rPr>
        <w:t xml:space="preserve">在WMT 2014英德翻译任务中，我们的模型取得了28.4的BLEU分数，相较于现有最佳结果（包括集成模型）提升了超过2个BLEU值。在WMT 2014英法翻译任务中，使用8块GPU训练3.5天后，我们的模型以单模型获得41.8的BLEU分数，创造了新的技术标杆，而训练成本仅需文献中最佳模型的一小部分。 </w:t>
      </w:r>
    </w:p>
    <w:p w14:paraId="0D99E8F8">
      <w:pPr>
        <w:rPr>
          <w:rFonts w:hint="eastAsia" w:ascii="仿宋" w:hAnsi="仿宋" w:eastAsia="仿宋" w:cs="仿宋"/>
          <w:lang w:val="en-US" w:eastAsia="zh-CN"/>
        </w:rPr>
      </w:pPr>
    </w:p>
    <w:p w14:paraId="5AC3E191">
      <w:pPr>
        <w:rPr>
          <w:rFonts w:hint="eastAsia" w:ascii="仿宋" w:hAnsi="仿宋" w:eastAsia="仿宋" w:cs="仿宋"/>
          <w:lang w:val="en-US" w:eastAsia="zh-CN"/>
        </w:rPr>
      </w:pPr>
      <w:r>
        <w:rPr>
          <w:rFonts w:hint="eastAsia" w:ascii="仿宋" w:hAnsi="仿宋" w:eastAsia="仿宋" w:cs="仿宋"/>
          <w:lang w:val="en-US" w:eastAsia="zh-CN"/>
        </w:rPr>
        <w:t>通过将Transformer成功应用于英语成分句法分析任务（包括大规模和有限训练数据场景），我们证明了该架构具有良好的泛化能力，能够有效迁移至其他任务领域。</w:t>
      </w:r>
    </w:p>
    <w:p w14:paraId="09B089A1">
      <w:pPr>
        <w:rPr>
          <w:rFonts w:hint="eastAsia" w:ascii="仿宋" w:hAnsi="仿宋" w:eastAsia="仿宋" w:cs="仿宋"/>
          <w:lang w:val="en-US" w:eastAsia="zh-CN"/>
        </w:rPr>
      </w:pPr>
    </w:p>
    <w:p w14:paraId="1B71B310">
      <w:pPr>
        <w:pStyle w:val="2"/>
        <w:bidi w:val="0"/>
        <w:rPr>
          <w:rFonts w:hint="eastAsia" w:ascii="仿宋" w:hAnsi="仿宋" w:eastAsia="仿宋" w:cs="仿宋"/>
          <w:lang w:val="en-US" w:eastAsia="zh-CN"/>
        </w:rPr>
      </w:pPr>
      <w:r>
        <w:rPr>
          <w:rFonts w:hint="eastAsia" w:ascii="仿宋" w:hAnsi="仿宋" w:eastAsia="仿宋" w:cs="仿宋"/>
          <w:lang w:val="en-US" w:eastAsia="zh-CN"/>
        </w:rPr>
        <w:t>【1】引言</w:t>
      </w:r>
    </w:p>
    <w:p w14:paraId="0B2536A3">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循环神经网络，特别是长短期记忆网络[13]与门控循环网络[7]，已牢固确立为序列建模与转换任务（如语言建模和机器翻译[35, 2, 5]）的先进方法</w:t>
      </w:r>
      <w:r>
        <w:rPr>
          <w:rFonts w:hint="eastAsia" w:ascii="仿宋" w:hAnsi="仿宋" w:eastAsia="仿宋" w:cs="仿宋"/>
          <w:lang w:val="en-US" w:eastAsia="zh-CN"/>
        </w:rPr>
        <w:t>。此后众多研究持续推动循环语言模型与编码器-解码器架构的边界[38, 24, 15]。</w:t>
      </w:r>
    </w:p>
    <w:p w14:paraId="5FC7763D">
      <w:pPr>
        <w:rPr>
          <w:rFonts w:hint="eastAsia" w:ascii="仿宋" w:hAnsi="仿宋" w:eastAsia="仿宋" w:cs="仿宋"/>
          <w:lang w:val="en-US" w:eastAsia="zh-CN"/>
        </w:rPr>
      </w:pPr>
    </w:p>
    <w:p w14:paraId="7F81E11D">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循环模型通常沿输入输出序列的符号位置进行逐步计算</w:t>
      </w:r>
      <w:r>
        <w:rPr>
          <w:rFonts w:hint="eastAsia" w:ascii="仿宋" w:hAnsi="仿宋" w:eastAsia="仿宋" w:cs="仿宋"/>
          <w:lang w:val="en-US" w:eastAsia="zh-CN"/>
        </w:rPr>
        <w:t>。通过将位置与计算时间步对齐，它们以前一隐藏状态 \(h_{t-1}\) 和位置 \(t\) 的输入为函数，生成隐藏状态序列 \(h_t\)。</w:t>
      </w:r>
      <w:r>
        <w:rPr>
          <w:rFonts w:hint="eastAsia" w:ascii="仿宋" w:hAnsi="仿宋" w:eastAsia="仿宋" w:cs="仿宋"/>
          <w:color w:val="FF0000"/>
          <w:lang w:val="en-US" w:eastAsia="zh-CN"/>
        </w:rPr>
        <w:t>这种固有的时序特性阻碍了训练样本内的并行化处理</w:t>
      </w:r>
      <w:r>
        <w:rPr>
          <w:rFonts w:hint="eastAsia" w:ascii="仿宋" w:hAnsi="仿宋" w:eastAsia="仿宋" w:cs="仿宋"/>
          <w:lang w:val="en-US" w:eastAsia="zh-CN"/>
        </w:rPr>
        <w:t>，这在处理较长序列时尤为关键——因为内存限制制约了跨样本的批处理规模。近期研究通过因子分解技巧[21]和条件计算[32]显著提升了计算效率，后者还同时改善了模型性能。</w:t>
      </w:r>
      <w:r>
        <w:rPr>
          <w:rFonts w:hint="eastAsia" w:ascii="仿宋" w:hAnsi="仿宋" w:eastAsia="仿宋" w:cs="仿宋"/>
          <w:color w:val="FF0000"/>
          <w:lang w:val="en-US" w:eastAsia="zh-CN"/>
        </w:rPr>
        <w:t>然而，顺序计算的根本约束依然存在</w:t>
      </w:r>
      <w:r>
        <w:rPr>
          <w:rFonts w:hint="eastAsia" w:ascii="仿宋" w:hAnsi="仿宋" w:eastAsia="仿宋" w:cs="仿宋"/>
          <w:lang w:val="en-US" w:eastAsia="zh-CN"/>
        </w:rPr>
        <w:t>。</w:t>
      </w:r>
    </w:p>
    <w:p w14:paraId="108BA880">
      <w:pPr>
        <w:rPr>
          <w:rFonts w:hint="eastAsia" w:ascii="仿宋" w:hAnsi="仿宋" w:eastAsia="仿宋" w:cs="仿宋"/>
          <w:lang w:val="en-US" w:eastAsia="zh-CN"/>
        </w:rPr>
      </w:pPr>
    </w:p>
    <w:p w14:paraId="40612F6F">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注意力机制已成为各类任务中序列建模与转换模型不可或缺的组成部分</w:t>
      </w:r>
      <w:r>
        <w:rPr>
          <w:rFonts w:hint="eastAsia" w:ascii="仿宋" w:hAnsi="仿宋" w:eastAsia="仿宋" w:cs="仿宋"/>
          <w:lang w:val="en-US" w:eastAsia="zh-CN"/>
        </w:rPr>
        <w:t>，</w:t>
      </w:r>
      <w:r>
        <w:rPr>
          <w:rFonts w:hint="eastAsia" w:ascii="仿宋" w:hAnsi="仿宋" w:eastAsia="仿宋" w:cs="仿宋"/>
          <w:color w:val="FF0000"/>
          <w:lang w:val="en-US" w:eastAsia="zh-CN"/>
        </w:rPr>
        <w:t>它能对依赖关系进行建模，而无需考虑其在输入或输出序列中的距离[2, 19]</w:t>
      </w:r>
      <w:r>
        <w:rPr>
          <w:rFonts w:hint="eastAsia" w:ascii="仿宋" w:hAnsi="仿宋" w:eastAsia="仿宋" w:cs="仿宋"/>
          <w:lang w:val="en-US" w:eastAsia="zh-CN"/>
        </w:rPr>
        <w:t>。但除少数情况外[27]，</w:t>
      </w:r>
      <w:r>
        <w:rPr>
          <w:rFonts w:hint="eastAsia" w:ascii="仿宋" w:hAnsi="仿宋" w:eastAsia="仿宋" w:cs="仿宋"/>
          <w:color w:val="FF0000"/>
          <w:lang w:val="en-US" w:eastAsia="zh-CN"/>
        </w:rPr>
        <w:t>这类注意力机制仍需与循环神经网络结合使用</w:t>
      </w:r>
      <w:r>
        <w:rPr>
          <w:rFonts w:hint="eastAsia" w:ascii="仿宋" w:hAnsi="仿宋" w:eastAsia="仿宋" w:cs="仿宋"/>
          <w:lang w:val="en-US" w:eastAsia="zh-CN"/>
        </w:rPr>
        <w:t>。</w:t>
      </w:r>
    </w:p>
    <w:p w14:paraId="194B0772">
      <w:pPr>
        <w:rPr>
          <w:rFonts w:hint="eastAsia" w:ascii="仿宋" w:hAnsi="仿宋" w:eastAsia="仿宋" w:cs="仿宋"/>
          <w:lang w:val="en-US" w:eastAsia="zh-CN"/>
        </w:rPr>
      </w:pPr>
    </w:p>
    <w:p w14:paraId="0F58A081">
      <w:pPr>
        <w:ind w:firstLine="420" w:firstLineChars="0"/>
        <w:rPr>
          <w:rFonts w:hint="eastAsia" w:ascii="仿宋" w:hAnsi="仿宋" w:eastAsia="仿宋" w:cs="仿宋"/>
          <w:lang w:val="en-US" w:eastAsia="zh-CN"/>
        </w:rPr>
      </w:pPr>
      <w:r>
        <w:rPr>
          <w:rFonts w:hint="eastAsia" w:ascii="仿宋" w:hAnsi="仿宋" w:eastAsia="仿宋" w:cs="仿宋"/>
          <w:b/>
          <w:bCs/>
          <w:color w:val="FF0000"/>
          <w:lang w:val="en-US" w:eastAsia="zh-CN"/>
        </w:rPr>
        <w:t>本研究提出**Transformer**架构，该模型摒弃循环神经网络结构，完全依赖注意力机制捕捉输入与输出间的全局依赖关系</w:t>
      </w:r>
      <w:r>
        <w:rPr>
          <w:rFonts w:hint="eastAsia" w:ascii="仿宋" w:hAnsi="仿宋" w:eastAsia="仿宋" w:cs="仿宋"/>
          <w:color w:val="FF0000"/>
          <w:lang w:val="en-US" w:eastAsia="zh-CN"/>
        </w:rPr>
        <w:t>。Transformer能够实现更显著的并行化</w:t>
      </w:r>
      <w:r>
        <w:rPr>
          <w:rFonts w:hint="eastAsia" w:ascii="仿宋" w:hAnsi="仿宋" w:eastAsia="仿宋" w:cs="仿宋"/>
          <w:lang w:val="en-US" w:eastAsia="zh-CN"/>
        </w:rPr>
        <w:t>，在8块P100 GPU上仅需12小时训练即可达到翻译质量的新最优水平。</w:t>
      </w:r>
    </w:p>
    <w:p w14:paraId="29B58CA0">
      <w:pPr>
        <w:rPr>
          <w:rFonts w:hint="eastAsia" w:ascii="仿宋" w:hAnsi="仿宋" w:eastAsia="仿宋" w:cs="仿宋"/>
          <w:lang w:val="en-US" w:eastAsia="zh-CN"/>
        </w:rPr>
      </w:pPr>
    </w:p>
    <w:p w14:paraId="39AA0FDD">
      <w:pPr>
        <w:pStyle w:val="2"/>
        <w:bidi w:val="0"/>
        <w:rPr>
          <w:rFonts w:hint="eastAsia" w:ascii="仿宋" w:hAnsi="仿宋" w:eastAsia="仿宋" w:cs="仿宋"/>
          <w:lang w:val="en-US" w:eastAsia="zh-CN"/>
        </w:rPr>
      </w:pPr>
      <w:r>
        <w:rPr>
          <w:rFonts w:hint="eastAsia" w:ascii="仿宋" w:hAnsi="仿宋" w:eastAsia="仿宋" w:cs="仿宋"/>
          <w:lang w:val="en-US" w:eastAsia="zh-CN"/>
        </w:rPr>
        <w:t>【2】背景</w:t>
      </w:r>
    </w:p>
    <w:p w14:paraId="1628797B">
      <w:pPr>
        <w:ind w:firstLine="420" w:firstLineChars="0"/>
        <w:rPr>
          <w:rFonts w:hint="eastAsia" w:ascii="仿宋" w:hAnsi="仿宋" w:eastAsia="仿宋" w:cs="仿宋"/>
          <w:lang w:val="en-US" w:eastAsia="zh-CN"/>
        </w:rPr>
      </w:pPr>
      <w:r>
        <w:rPr>
          <w:rFonts w:hint="eastAsia" w:ascii="仿宋" w:hAnsi="仿宋" w:eastAsia="仿宋" w:cs="仿宋"/>
          <w:lang w:val="en-US" w:eastAsia="zh-CN"/>
        </w:rPr>
        <w:t>减少序列计算量的目标也是扩展神经GPU [16]、ByteNet [18] 与ConvS2S [9] 等模型的核心动机，它们均使用卷积神经网络作为基础模块，为所有输入和输出位置并行计算隐层表示。在这些模型中，</w:t>
      </w:r>
      <w:r>
        <w:rPr>
          <w:rFonts w:hint="eastAsia" w:ascii="仿宋" w:hAnsi="仿宋" w:eastAsia="仿宋" w:cs="仿宋"/>
          <w:color w:val="FF0000"/>
          <w:lang w:val="en-US" w:eastAsia="zh-CN"/>
        </w:rPr>
        <w:t>关联任意两个输入或输出位置信号所需的计算量，会随位置间距离的增长而增加：ConvS2S呈线性增长，ByteNet则为对数增长</w:t>
      </w:r>
      <w:r>
        <w:rPr>
          <w:rFonts w:hint="eastAsia" w:ascii="仿宋" w:hAnsi="仿宋" w:eastAsia="仿宋" w:cs="仿宋"/>
          <w:lang w:val="en-US" w:eastAsia="zh-CN"/>
        </w:rPr>
        <w:t>。这导致学习远距离位置间的依赖关系变得更加困难 [12]。</w:t>
      </w:r>
      <w:r>
        <w:rPr>
          <w:rFonts w:hint="eastAsia" w:ascii="仿宋" w:hAnsi="仿宋" w:eastAsia="仿宋" w:cs="仿宋"/>
          <w:color w:val="FF0000"/>
          <w:lang w:val="en-US" w:eastAsia="zh-CN"/>
        </w:rPr>
        <w:t>而在Transformer中，这一计算量被降至常数级别，尽管其代价是由于对注意力加权位置进行平均化处理而降低了有效分辨率</w:t>
      </w:r>
      <w:r>
        <w:rPr>
          <w:rFonts w:hint="eastAsia" w:ascii="仿宋" w:hAnsi="仿宋" w:eastAsia="仿宋" w:cs="仿宋"/>
          <w:lang w:val="en-US" w:eastAsia="zh-CN"/>
        </w:rPr>
        <w:t>——</w:t>
      </w:r>
      <w:r>
        <w:rPr>
          <w:rFonts w:hint="eastAsia" w:ascii="仿宋" w:hAnsi="仿宋" w:eastAsia="仿宋" w:cs="仿宋"/>
          <w:color w:val="FF0000"/>
          <w:lang w:val="en-US" w:eastAsia="zh-CN"/>
        </w:rPr>
        <w:t>我们采用第3.2节描述的多头注意力机制来缓解这一问题</w:t>
      </w:r>
      <w:r>
        <w:rPr>
          <w:rFonts w:hint="eastAsia" w:ascii="仿宋" w:hAnsi="仿宋" w:eastAsia="仿宋" w:cs="仿宋"/>
          <w:lang w:val="en-US" w:eastAsia="zh-CN"/>
        </w:rPr>
        <w:t>。</w:t>
      </w:r>
    </w:p>
    <w:p w14:paraId="6A090F3E">
      <w:pPr>
        <w:rPr>
          <w:rFonts w:hint="eastAsia" w:ascii="仿宋" w:hAnsi="仿宋" w:eastAsia="仿宋" w:cs="仿宋"/>
          <w:lang w:val="en-US" w:eastAsia="zh-CN"/>
        </w:rPr>
      </w:pPr>
    </w:p>
    <w:p w14:paraId="6499D59E">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自注意力（有时也称内部注意力）是一种通过关联同一序列中不同位置来构建序列表示的注意力机制</w:t>
      </w:r>
      <w:r>
        <w:rPr>
          <w:rFonts w:hint="eastAsia" w:ascii="仿宋" w:hAnsi="仿宋" w:eastAsia="仿宋" w:cs="仿宋"/>
          <w:lang w:val="en-US" w:eastAsia="zh-CN"/>
        </w:rPr>
        <w:t>。</w:t>
      </w:r>
      <w:r>
        <w:rPr>
          <w:rFonts w:hint="eastAsia" w:ascii="仿宋" w:hAnsi="仿宋" w:eastAsia="仿宋" w:cs="仿宋"/>
          <w:color w:val="FF0000"/>
          <w:lang w:val="en-US" w:eastAsia="zh-CN"/>
        </w:rPr>
        <w:t>该机制已成功应用于多项任务</w:t>
      </w:r>
      <w:r>
        <w:rPr>
          <w:rFonts w:hint="eastAsia" w:ascii="仿宋" w:hAnsi="仿宋" w:eastAsia="仿宋" w:cs="仿宋"/>
          <w:lang w:val="en-US" w:eastAsia="zh-CN"/>
        </w:rPr>
        <w:t>，包括阅读理解、抽象摘要、文本蕴含以及任务无关的句子表示学习 [4, 27, 28, 22]。</w:t>
      </w:r>
    </w:p>
    <w:p w14:paraId="7BDC9B18">
      <w:pPr>
        <w:rPr>
          <w:rFonts w:hint="eastAsia" w:ascii="仿宋" w:hAnsi="仿宋" w:eastAsia="仿宋" w:cs="仿宋"/>
          <w:lang w:val="en-US" w:eastAsia="zh-CN"/>
        </w:rPr>
      </w:pPr>
    </w:p>
    <w:p w14:paraId="4EFDEBD4">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端到端记忆网络则基于循环注意力机制而非序列对齐的循环结构</w:t>
      </w:r>
      <w:r>
        <w:rPr>
          <w:rFonts w:hint="eastAsia" w:ascii="仿宋" w:hAnsi="仿宋" w:eastAsia="仿宋" w:cs="仿宋"/>
          <w:lang w:val="en-US" w:eastAsia="zh-CN"/>
        </w:rPr>
        <w:t>，并已在简单语言问答和语言建模任务中表现出良好性能 [34]。</w:t>
      </w:r>
    </w:p>
    <w:p w14:paraId="251D5079">
      <w:pPr>
        <w:rPr>
          <w:rFonts w:hint="eastAsia" w:ascii="仿宋" w:hAnsi="仿宋" w:eastAsia="仿宋" w:cs="仿宋"/>
          <w:lang w:val="en-US" w:eastAsia="zh-CN"/>
        </w:rPr>
      </w:pPr>
    </w:p>
    <w:p w14:paraId="2781B93E">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据我们所知，Transformer是</w:t>
      </w:r>
      <w:r>
        <w:rPr>
          <w:rFonts w:hint="eastAsia" w:ascii="仿宋" w:hAnsi="仿宋" w:eastAsia="仿宋" w:cs="仿宋"/>
          <w:b/>
          <w:bCs/>
          <w:color w:val="FF0000"/>
          <w:lang w:val="en-US" w:eastAsia="zh-CN"/>
        </w:rPr>
        <w:t>首个完全依赖自注意力机制</w:t>
      </w:r>
      <w:r>
        <w:rPr>
          <w:rFonts w:hint="eastAsia" w:ascii="仿宋" w:hAnsi="仿宋" w:eastAsia="仿宋" w:cs="仿宋"/>
          <w:color w:val="FF0000"/>
          <w:lang w:val="en-US" w:eastAsia="zh-CN"/>
        </w:rPr>
        <w:t>计算输入输出表示，而不使用序列对齐循环神经网络或卷积的转换模型</w:t>
      </w:r>
      <w:r>
        <w:rPr>
          <w:rFonts w:hint="eastAsia" w:ascii="仿宋" w:hAnsi="仿宋" w:eastAsia="仿宋" w:cs="仿宋"/>
          <w:lang w:val="en-US" w:eastAsia="zh-CN"/>
        </w:rPr>
        <w:t>。在后续章节中，</w:t>
      </w:r>
      <w:r>
        <w:rPr>
          <w:rFonts w:hint="eastAsia" w:ascii="仿宋" w:hAnsi="仿宋" w:eastAsia="仿宋" w:cs="仿宋"/>
          <w:color w:val="FF0000"/>
          <w:lang w:val="en-US" w:eastAsia="zh-CN"/>
        </w:rPr>
        <w:t>我们将详细描述Transformer架构，阐释自注意力机制的设计原理</w:t>
      </w:r>
      <w:r>
        <w:rPr>
          <w:rFonts w:hint="eastAsia" w:ascii="仿宋" w:hAnsi="仿宋" w:eastAsia="仿宋" w:cs="仿宋"/>
          <w:lang w:val="en-US" w:eastAsia="zh-CN"/>
        </w:rPr>
        <w:t>，并探讨其相较于 [17, 18] 和 [9] 等模型的优势。</w:t>
      </w:r>
    </w:p>
    <w:p w14:paraId="5BD05889">
      <w:pPr>
        <w:rPr>
          <w:rFonts w:hint="eastAsia" w:ascii="仿宋" w:hAnsi="仿宋" w:eastAsia="仿宋" w:cs="仿宋"/>
          <w:lang w:val="en-US" w:eastAsia="zh-CN"/>
        </w:rPr>
      </w:pPr>
    </w:p>
    <w:p w14:paraId="350D88AF">
      <w:pPr>
        <w:pStyle w:val="2"/>
        <w:bidi w:val="0"/>
        <w:rPr>
          <w:rFonts w:hint="eastAsia" w:ascii="仿宋" w:hAnsi="仿宋" w:eastAsia="仿宋" w:cs="仿宋"/>
          <w:lang w:val="en-US" w:eastAsia="zh-CN"/>
        </w:rPr>
      </w:pPr>
      <w:r>
        <w:rPr>
          <w:rFonts w:hint="eastAsia" w:ascii="仿宋" w:hAnsi="仿宋" w:eastAsia="仿宋" w:cs="仿宋"/>
          <w:lang w:val="en-US" w:eastAsia="zh-CN"/>
        </w:rPr>
        <w:t>【3】模型架构（编码器+解码器）</w:t>
      </w:r>
    </w:p>
    <w:p w14:paraId="4BF8E985">
      <w:pPr>
        <w:ind w:firstLine="420" w:firstLineChars="0"/>
        <w:rPr>
          <w:rFonts w:hint="eastAsia" w:ascii="仿宋" w:hAnsi="仿宋" w:eastAsia="仿宋" w:cs="仿宋"/>
          <w:lang w:val="en-US" w:eastAsia="zh-CN"/>
        </w:rPr>
      </w:pPr>
      <w:r>
        <w:rPr>
          <w:rFonts w:hint="eastAsia" w:ascii="仿宋" w:hAnsi="仿宋" w:eastAsia="仿宋" w:cs="仿宋"/>
          <w:color w:val="FF0000"/>
          <w:lang w:val="en-US" w:eastAsia="zh-CN"/>
        </w:rPr>
        <w:t>最具竞争力的神经网络序列转换模型通常采用编码器-解码器结构</w:t>
      </w:r>
      <w:r>
        <w:rPr>
          <w:rFonts w:hint="eastAsia" w:ascii="仿宋" w:hAnsi="仿宋" w:eastAsia="仿宋" w:cs="仿宋"/>
          <w:lang w:val="en-US" w:eastAsia="zh-CN"/>
        </w:rPr>
        <w:t xml:space="preserve"> [5, 2, 35]。在该架构中，编码器将符号表示组成的输入序列 \((x_1, ..., x_n)\) 映射为连续表示序列 \(\mathbf{z} = (z_1, ..., z_n)\)；</w:t>
      </w:r>
      <w:r>
        <w:rPr>
          <w:rFonts w:hint="eastAsia" w:ascii="仿宋" w:hAnsi="仿宋" w:eastAsia="仿宋" w:cs="仿宋"/>
          <w:color w:val="FF0000"/>
          <w:lang w:val="en-US" w:eastAsia="zh-CN"/>
        </w:rPr>
        <w:t>解码器则基于 \(\mathbf{z}\) 以自回归方式 [10] 逐步生成输出符号序列 \((y_1, ..., y_m)\)——在生成每个新元素时，模型会将已生成的部分序列作为额外输入</w:t>
      </w:r>
      <w:r>
        <w:rPr>
          <w:rFonts w:hint="eastAsia" w:ascii="仿宋" w:hAnsi="仿宋" w:eastAsia="仿宋" w:cs="仿宋"/>
          <w:lang w:val="en-US" w:eastAsia="zh-CN"/>
        </w:rPr>
        <w:t>。</w:t>
      </w:r>
    </w:p>
    <w:p w14:paraId="4AA922F6">
      <w:pPr>
        <w:rPr>
          <w:rFonts w:hint="eastAsia" w:ascii="仿宋" w:hAnsi="仿宋" w:eastAsia="仿宋" w:cs="仿宋"/>
          <w:lang w:val="en-US" w:eastAsia="zh-CN"/>
        </w:rPr>
      </w:pPr>
    </w:p>
    <w:p w14:paraId="77BA40B7">
      <w:pPr>
        <w:rPr>
          <w:rFonts w:hint="eastAsia" w:ascii="仿宋" w:hAnsi="仿宋" w:eastAsia="仿宋" w:cs="仿宋"/>
          <w:lang w:val="en-US" w:eastAsia="zh-CN"/>
        </w:rPr>
      </w:pPr>
    </w:p>
    <w:p w14:paraId="3BCBBBE2">
      <w:pPr>
        <w:rPr>
          <w:rFonts w:hint="eastAsia" w:ascii="仿宋" w:hAnsi="仿宋" w:eastAsia="仿宋" w:cs="仿宋"/>
        </w:rPr>
      </w:pPr>
      <w:r>
        <w:rPr>
          <w:rFonts w:hint="eastAsia" w:ascii="仿宋" w:hAnsi="仿宋" w:eastAsia="仿宋" w:cs="仿宋"/>
        </w:rPr>
        <w:drawing>
          <wp:inline distT="0" distB="0" distL="114300" distR="114300">
            <wp:extent cx="2997200" cy="4114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997200" cy="4114800"/>
                    </a:xfrm>
                    <a:prstGeom prst="rect">
                      <a:avLst/>
                    </a:prstGeom>
                    <a:noFill/>
                    <a:ln>
                      <a:noFill/>
                    </a:ln>
                  </pic:spPr>
                </pic:pic>
              </a:graphicData>
            </a:graphic>
          </wp:inline>
        </w:drawing>
      </w:r>
    </w:p>
    <w:p w14:paraId="3DFB32A8">
      <w:pPr>
        <w:jc w:val="center"/>
        <w:rPr>
          <w:rFonts w:hint="default" w:ascii="仿宋" w:hAnsi="仿宋" w:eastAsia="仿宋" w:cs="仿宋"/>
          <w:lang w:val="en-US" w:eastAsia="zh-CN"/>
        </w:rPr>
      </w:pPr>
      <w:r>
        <w:rPr>
          <w:rFonts w:hint="eastAsia" w:ascii="仿宋" w:hAnsi="仿宋" w:eastAsia="仿宋" w:cs="仿宋"/>
          <w:lang w:val="en-US" w:eastAsia="zh-CN"/>
        </w:rPr>
        <w:t xml:space="preserve">图1 转换器-模型架构 </w:t>
      </w:r>
    </w:p>
    <w:p w14:paraId="06A029F8">
      <w:pPr>
        <w:rPr>
          <w:rFonts w:hint="eastAsia" w:ascii="仿宋" w:hAnsi="仿宋" w:eastAsia="仿宋" w:cs="仿宋"/>
          <w:lang w:val="en-US" w:eastAsia="zh-CN"/>
        </w:rPr>
      </w:pPr>
    </w:p>
    <w:p w14:paraId="558B72EF">
      <w:pPr>
        <w:ind w:firstLine="420" w:firstLineChars="0"/>
        <w:rPr>
          <w:rFonts w:hint="eastAsia" w:ascii="仿宋" w:hAnsi="仿宋" w:eastAsia="仿宋" w:cs="仿宋"/>
          <w:lang w:val="en-US" w:eastAsia="zh-CN"/>
        </w:rPr>
      </w:pPr>
      <w:r>
        <w:rPr>
          <w:rFonts w:hint="eastAsia" w:ascii="仿宋" w:hAnsi="仿宋" w:eastAsia="仿宋" w:cs="仿宋"/>
          <w:color w:val="FF0000"/>
          <w:highlight w:val="yellow"/>
          <w:lang w:val="en-US" w:eastAsia="zh-CN"/>
        </w:rPr>
        <w:t>Transformer遵循这一整体架构，编码器和解码器均采用堆叠的自注意力层及逐点全连接层实现</w:t>
      </w:r>
      <w:r>
        <w:rPr>
          <w:rFonts w:hint="eastAsia" w:ascii="仿宋" w:hAnsi="仿宋" w:eastAsia="仿宋" w:cs="仿宋"/>
          <w:lang w:val="en-US" w:eastAsia="zh-CN"/>
        </w:rPr>
        <w:t>，分别如图1左右两部分所示。</w:t>
      </w:r>
    </w:p>
    <w:p w14:paraId="14F5BCD6">
      <w:pPr>
        <w:rPr>
          <w:rFonts w:hint="eastAsia" w:ascii="仿宋" w:hAnsi="仿宋" w:eastAsia="仿宋" w:cs="仿宋"/>
          <w:lang w:val="en-US" w:eastAsia="zh-CN"/>
        </w:rPr>
      </w:pPr>
    </w:p>
    <w:p w14:paraId="202CC0D8">
      <w:pPr>
        <w:pStyle w:val="3"/>
        <w:bidi w:val="0"/>
        <w:rPr>
          <w:rFonts w:hint="eastAsia" w:ascii="仿宋" w:hAnsi="仿宋" w:eastAsia="仿宋" w:cs="仿宋"/>
          <w:lang w:val="en-US" w:eastAsia="zh-CN"/>
        </w:rPr>
      </w:pPr>
      <w:r>
        <w:rPr>
          <w:rFonts w:hint="eastAsia" w:ascii="仿宋" w:hAnsi="仿宋" w:eastAsia="仿宋" w:cs="仿宋"/>
          <w:lang w:val="en-US" w:eastAsia="zh-CN"/>
        </w:rPr>
        <w:t>【3.1】编码器与解码器层</w:t>
      </w:r>
    </w:p>
    <w:p w14:paraId="0C4B4217">
      <w:pPr>
        <w:pStyle w:val="4"/>
        <w:bidi w:val="0"/>
        <w:rPr>
          <w:rFonts w:hint="eastAsia" w:ascii="仿宋" w:hAnsi="仿宋" w:eastAsia="仿宋" w:cs="仿宋"/>
          <w:lang w:val="en-US" w:eastAsia="zh-CN"/>
        </w:rPr>
      </w:pPr>
      <w:r>
        <w:rPr>
          <w:rFonts w:hint="eastAsia" w:ascii="仿宋" w:hAnsi="仿宋" w:eastAsia="仿宋" w:cs="仿宋"/>
          <w:lang w:val="en-US" w:eastAsia="zh-CN"/>
        </w:rPr>
        <w:t>编码器</w:t>
      </w:r>
    </w:p>
    <w:p w14:paraId="2A201659">
      <w:pPr>
        <w:ind w:firstLine="420" w:firstLineChars="0"/>
        <w:rPr>
          <w:rFonts w:hint="default" w:ascii="仿宋" w:hAnsi="仿宋" w:eastAsia="仿宋" w:cs="仿宋"/>
          <w:lang w:val="en-US" w:eastAsia="zh-CN"/>
        </w:rPr>
      </w:pPr>
      <w:r>
        <w:rPr>
          <w:rFonts w:hint="eastAsia" w:ascii="仿宋" w:hAnsi="仿宋" w:eastAsia="仿宋" w:cs="仿宋"/>
          <w:color w:val="FF0000"/>
          <w:highlight w:val="yellow"/>
          <w:lang w:val="en-US" w:eastAsia="zh-CN"/>
        </w:rPr>
        <w:t>编码器由 N=6 个完全相同的层堆叠而成</w:t>
      </w:r>
      <w:r>
        <w:rPr>
          <w:rFonts w:hint="eastAsia" w:ascii="仿宋" w:hAnsi="仿宋" w:eastAsia="仿宋" w:cs="仿宋"/>
          <w:highlight w:val="yellow"/>
          <w:lang w:val="en-US" w:eastAsia="zh-CN"/>
        </w:rPr>
        <w:t>。</w:t>
      </w:r>
      <w:r>
        <w:rPr>
          <w:rFonts w:hint="eastAsia" w:ascii="仿宋" w:hAnsi="仿宋" w:eastAsia="仿宋" w:cs="仿宋"/>
          <w:color w:val="FF0000"/>
          <w:highlight w:val="yellow"/>
          <w:lang w:val="en-US" w:eastAsia="zh-CN"/>
        </w:rPr>
        <w:t>每层包含两个子层：第一层是多头自注意力机制，第二层是简单的位置级全连接前馈神经网络</w:t>
      </w:r>
      <w:r>
        <w:rPr>
          <w:rFonts w:hint="eastAsia" w:ascii="仿宋" w:hAnsi="仿宋" w:eastAsia="仿宋" w:cs="仿宋"/>
          <w:lang w:val="en-US" w:eastAsia="zh-CN"/>
        </w:rPr>
        <w:t>。我们在每个子层周围采用</w:t>
      </w:r>
      <w:r>
        <w:rPr>
          <w:rFonts w:hint="eastAsia" w:ascii="仿宋" w:hAnsi="仿宋" w:eastAsia="仿宋" w:cs="仿宋"/>
          <w:color w:val="FF0000"/>
          <w:highlight w:val="yellow"/>
          <w:lang w:val="en-US" w:eastAsia="zh-CN"/>
        </w:rPr>
        <w:t>残差连接</w:t>
      </w:r>
      <w:r>
        <w:rPr>
          <w:rFonts w:hint="eastAsia" w:ascii="仿宋" w:hAnsi="仿宋" w:eastAsia="仿宋" w:cs="仿宋"/>
          <w:lang w:val="en-US" w:eastAsia="zh-CN"/>
        </w:rPr>
        <w:t xml:space="preserve"> [11]，并进行层归一化处理 [1]。也就是说，</w:t>
      </w:r>
      <w:r>
        <w:rPr>
          <w:rFonts w:hint="eastAsia" w:ascii="仿宋" w:hAnsi="仿宋" w:eastAsia="仿宋" w:cs="仿宋"/>
          <w:color w:val="FF0000"/>
          <w:lang w:val="en-US" w:eastAsia="zh-CN"/>
        </w:rPr>
        <w:t>每个子层的输出为 LayerNorm(x + Sublayer(x))，其中 Sublayer(x) 表示该子层所实现的功能</w:t>
      </w:r>
      <w:r>
        <w:rPr>
          <w:rFonts w:hint="eastAsia" w:ascii="仿宋" w:hAnsi="仿宋" w:eastAsia="仿宋" w:cs="仿宋"/>
          <w:lang w:val="en-US" w:eastAsia="zh-CN"/>
        </w:rPr>
        <w:t xml:space="preserve">。为支持残差连接，模型中的所有子层及嵌入层的输出维度均统一为 d_model=512。 </w:t>
      </w:r>
    </w:p>
    <w:p w14:paraId="5B8FDE77">
      <w:pPr>
        <w:rPr>
          <w:rFonts w:hint="eastAsia" w:ascii="仿宋" w:hAnsi="仿宋" w:eastAsia="仿宋" w:cs="仿宋"/>
          <w:lang w:val="en-US" w:eastAsia="zh-CN"/>
        </w:rPr>
      </w:pPr>
    </w:p>
    <w:p w14:paraId="3ED2A34B">
      <w:pPr>
        <w:pStyle w:val="4"/>
        <w:bidi w:val="0"/>
        <w:rPr>
          <w:rFonts w:hint="eastAsia" w:ascii="仿宋" w:hAnsi="仿宋" w:eastAsia="仿宋" w:cs="仿宋"/>
          <w:lang w:val="en-US" w:eastAsia="zh-CN"/>
        </w:rPr>
      </w:pPr>
      <w:r>
        <w:rPr>
          <w:rFonts w:hint="eastAsia" w:ascii="仿宋" w:hAnsi="仿宋" w:eastAsia="仿宋" w:cs="仿宋"/>
          <w:lang w:val="en-US" w:eastAsia="zh-CN"/>
        </w:rPr>
        <w:t>解码器</w:t>
      </w:r>
    </w:p>
    <w:p w14:paraId="5D967F8C">
      <w:pPr>
        <w:ind w:firstLine="420" w:firstLineChars="0"/>
        <w:rPr>
          <w:rFonts w:hint="eastAsia" w:ascii="仿宋" w:hAnsi="仿宋" w:eastAsia="仿宋" w:cs="仿宋"/>
          <w:lang w:val="en-US" w:eastAsia="zh-CN"/>
        </w:rPr>
      </w:pPr>
      <w:r>
        <w:rPr>
          <w:rFonts w:hint="eastAsia" w:ascii="仿宋" w:hAnsi="仿宋" w:eastAsia="仿宋" w:cs="仿宋"/>
          <w:color w:val="FF0000"/>
          <w:highlight w:val="yellow"/>
          <w:lang w:val="en-US" w:eastAsia="zh-CN"/>
        </w:rPr>
        <w:t>解码器同样由 N=6 个相同层堆叠组成。除包含编码器层中已有的两个子层外，解码器额外增加了第三子层，该层对编码器堆栈的输出执行多头注意力计算</w:t>
      </w:r>
      <w:r>
        <w:rPr>
          <w:rFonts w:hint="eastAsia" w:ascii="仿宋" w:hAnsi="仿宋" w:eastAsia="仿宋" w:cs="仿宋"/>
          <w:lang w:val="en-US" w:eastAsia="zh-CN"/>
        </w:rPr>
        <w:t>。与编码器类似，我们在每个子层周围采用残差连接并进行层归一化。同时，我们对解码器堆栈中的自注意力子层进行改进，</w:t>
      </w:r>
      <w:r>
        <w:rPr>
          <w:rFonts w:hint="eastAsia" w:ascii="仿宋" w:hAnsi="仿宋" w:eastAsia="仿宋" w:cs="仿宋"/>
          <w:color w:val="FF0000"/>
          <w:lang w:val="en-US" w:eastAsia="zh-CN"/>
        </w:rPr>
        <w:t>通过掩码机制防止位置关注到后续位置</w:t>
      </w:r>
      <w:r>
        <w:rPr>
          <w:rFonts w:hint="eastAsia" w:ascii="仿宋" w:hAnsi="仿宋" w:eastAsia="仿宋" w:cs="仿宋"/>
          <w:lang w:val="en-US" w:eastAsia="zh-CN"/>
        </w:rPr>
        <w:t>。</w:t>
      </w:r>
      <w:r>
        <w:rPr>
          <w:rFonts w:hint="eastAsia" w:ascii="仿宋" w:hAnsi="仿宋" w:eastAsia="仿宋" w:cs="仿宋"/>
          <w:color w:val="FF0000"/>
          <w:lang w:val="en-US" w:eastAsia="zh-CN"/>
        </w:rPr>
        <w:t>这种掩码操作结合输出嵌入向右偏移一位的处理方式，确保对位置 i 的预测仅依赖于小于 i 的已知输出位置</w:t>
      </w:r>
      <w:r>
        <w:rPr>
          <w:rFonts w:hint="eastAsia" w:ascii="仿宋" w:hAnsi="仿宋" w:eastAsia="仿宋" w:cs="仿宋"/>
          <w:lang w:val="en-US" w:eastAsia="zh-CN"/>
        </w:rPr>
        <w:t>。</w:t>
      </w:r>
    </w:p>
    <w:p w14:paraId="34C8CCD0">
      <w:pPr>
        <w:rPr>
          <w:rFonts w:hint="eastAsia" w:ascii="仿宋" w:hAnsi="仿宋" w:eastAsia="仿宋" w:cs="仿宋"/>
          <w:lang w:val="en-US" w:eastAsia="zh-CN"/>
        </w:rPr>
      </w:pPr>
    </w:p>
    <w:p w14:paraId="1D48B8F4">
      <w:pPr>
        <w:rPr>
          <w:rFonts w:hint="eastAsia" w:ascii="仿宋" w:hAnsi="仿宋" w:eastAsia="仿宋" w:cs="仿宋"/>
          <w:lang w:val="en-US" w:eastAsia="zh-CN"/>
        </w:rPr>
      </w:pPr>
    </w:p>
    <w:p w14:paraId="4DBB3858">
      <w:pPr>
        <w:pStyle w:val="3"/>
        <w:bidi w:val="0"/>
        <w:rPr>
          <w:rFonts w:hint="eastAsia" w:ascii="仿宋" w:hAnsi="仿宋" w:eastAsia="仿宋" w:cs="仿宋"/>
          <w:lang w:val="en-US" w:eastAsia="zh-CN"/>
        </w:rPr>
      </w:pPr>
      <w:r>
        <w:rPr>
          <w:rFonts w:hint="eastAsia" w:ascii="仿宋" w:hAnsi="仿宋" w:eastAsia="仿宋" w:cs="仿宋"/>
          <w:lang w:val="en-US" w:eastAsia="zh-CN"/>
        </w:rPr>
        <w:t>【3.2】注意力机制</w:t>
      </w:r>
    </w:p>
    <w:p w14:paraId="160669AF">
      <w:pPr>
        <w:bidi w:val="0"/>
        <w:ind w:firstLine="420" w:firstLineChars="200"/>
        <w:rPr>
          <w:rFonts w:hint="eastAsia" w:ascii="仿宋" w:hAnsi="仿宋" w:eastAsia="仿宋" w:cs="仿宋"/>
          <w:lang w:val="en-US" w:eastAsia="zh-CN"/>
        </w:rPr>
      </w:pPr>
      <w:r>
        <w:rPr>
          <w:rFonts w:hint="eastAsia" w:ascii="仿宋" w:hAnsi="仿宋" w:eastAsia="仿宋" w:cs="仿宋"/>
          <w:color w:val="FF0000"/>
          <w:highlight w:val="yellow"/>
          <w:lang w:val="en-US" w:eastAsia="zh-CN"/>
        </w:rPr>
        <w:t>注意力函数可描述为：将查询向量与一组键值对映射为输出向量的过程，其中查询、键、值和输出均为向量</w:t>
      </w:r>
      <w:r>
        <w:rPr>
          <w:rFonts w:hint="eastAsia" w:ascii="仿宋" w:hAnsi="仿宋" w:eastAsia="仿宋" w:cs="仿宋"/>
          <w:lang w:val="en-US" w:eastAsia="zh-CN"/>
        </w:rPr>
        <w:t>。输出通过计算值的加权和得到，每个值对应的权重由查询向量与其对应键向量的兼容性函数计算得出。</w:t>
      </w:r>
    </w:p>
    <w:p w14:paraId="1A5B906A">
      <w:pPr>
        <w:bidi w:val="0"/>
        <w:ind w:firstLine="420" w:firstLineChars="200"/>
        <w:rPr>
          <w:rFonts w:hint="eastAsia" w:ascii="仿宋" w:hAnsi="仿宋" w:eastAsia="仿宋" w:cs="仿宋"/>
          <w:lang w:val="en-US" w:eastAsia="zh-CN"/>
        </w:rPr>
      </w:pPr>
    </w:p>
    <w:p w14:paraId="6BD392B2">
      <w:pPr>
        <w:bidi w:val="0"/>
        <w:ind w:firstLine="420" w:firstLineChars="200"/>
      </w:pPr>
      <w:r>
        <w:drawing>
          <wp:inline distT="0" distB="0" distL="114300" distR="114300">
            <wp:extent cx="4629150" cy="2635250"/>
            <wp:effectExtent l="0" t="0" r="190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629150" cy="2635250"/>
                    </a:xfrm>
                    <a:prstGeom prst="rect">
                      <a:avLst/>
                    </a:prstGeom>
                    <a:noFill/>
                    <a:ln>
                      <a:noFill/>
                    </a:ln>
                  </pic:spPr>
                </pic:pic>
              </a:graphicData>
            </a:graphic>
          </wp:inline>
        </w:drawing>
      </w:r>
    </w:p>
    <w:p w14:paraId="153C20D8">
      <w:pPr>
        <w:bidi w:val="0"/>
        <w:ind w:firstLine="420" w:firstLineChars="200"/>
        <w:jc w:val="center"/>
        <w:rPr>
          <w:rFonts w:hint="eastAsia"/>
          <w:lang w:val="en-US" w:eastAsia="zh-CN"/>
        </w:rPr>
      </w:pPr>
      <w:r>
        <w:rPr>
          <w:rFonts w:hint="eastAsia"/>
          <w:lang w:val="en-US" w:eastAsia="zh-CN"/>
        </w:rPr>
        <w:t>图2 缩放点积注意力（左）。多头注意力包含多个并行运行的注意力层。</w:t>
      </w:r>
    </w:p>
    <w:p w14:paraId="5A31CC0D">
      <w:pPr>
        <w:bidi w:val="0"/>
        <w:ind w:firstLine="420" w:firstLineChars="200"/>
        <w:rPr>
          <w:rFonts w:hint="default"/>
          <w:lang w:val="en-US" w:eastAsia="zh-CN"/>
        </w:rPr>
      </w:pPr>
    </w:p>
    <w:p w14:paraId="3ADD844B">
      <w:pPr>
        <w:pStyle w:val="4"/>
        <w:bidi w:val="0"/>
        <w:rPr>
          <w:rFonts w:hint="eastAsia"/>
          <w:lang w:val="en-US" w:eastAsia="zh-CN"/>
        </w:rPr>
      </w:pPr>
      <w:r>
        <w:rPr>
          <w:rFonts w:hint="eastAsia" w:ascii="仿宋" w:hAnsi="仿宋" w:eastAsia="仿宋" w:cs="仿宋"/>
          <w:lang w:val="en-US" w:eastAsia="zh-CN"/>
        </w:rPr>
        <w:t>【3.2.1】缩</w:t>
      </w:r>
      <w:r>
        <w:rPr>
          <w:rFonts w:hint="eastAsia"/>
          <w:lang w:val="en-US" w:eastAsia="zh-CN"/>
        </w:rPr>
        <w:t>放点积注意力</w:t>
      </w:r>
    </w:p>
    <w:p w14:paraId="1C4FCA2E">
      <w:pPr>
        <w:rPr>
          <w:rFonts w:hint="eastAsia"/>
          <w:lang w:val="en-US" w:eastAsia="zh-CN"/>
        </w:rPr>
      </w:pPr>
      <w:r>
        <w:rPr>
          <w:rFonts w:hint="eastAsia"/>
          <w:lang w:val="en-US" w:eastAsia="zh-CN"/>
        </w:rPr>
        <w:t xml:space="preserve">  </w:t>
      </w:r>
      <w:r>
        <w:rPr>
          <w:rFonts w:hint="eastAsia"/>
          <w:color w:val="FF0000"/>
          <w:highlight w:val="yellow"/>
          <w:lang w:val="en-US" w:eastAsia="zh-CN"/>
        </w:rPr>
        <w:t>我们将这种特定的注意力机制称为“缩放点积注意力”</w:t>
      </w:r>
      <w:r>
        <w:rPr>
          <w:rFonts w:hint="eastAsia"/>
          <w:highlight w:val="yellow"/>
          <w:lang w:val="en-US" w:eastAsia="zh-CN"/>
        </w:rPr>
        <w:t>（图2）</w:t>
      </w:r>
      <w:r>
        <w:rPr>
          <w:rFonts w:hint="eastAsia"/>
          <w:lang w:val="en-US" w:eastAsia="zh-CN"/>
        </w:rPr>
        <w:t>。输入包含维度为 \(d_k\) 的查询向量和键向量，以及维度为 \(d_v\) 的值向量。首先计算查询向量与所有键向量的点积，将每个点积结果除以 \(\sqrt{d_k}\)，然后应用 softmax 函数以获取值向量的权重。</w:t>
      </w:r>
    </w:p>
    <w:p w14:paraId="402F9C0D">
      <w:pPr>
        <w:rPr>
          <w:rFonts w:hint="eastAsia"/>
          <w:lang w:val="en-US" w:eastAsia="zh-CN"/>
        </w:rPr>
      </w:pPr>
    </w:p>
    <w:p w14:paraId="128F8803">
      <w:pPr>
        <w:ind w:firstLine="420" w:firstLineChars="0"/>
        <w:rPr>
          <w:rFonts w:hint="eastAsia"/>
          <w:lang w:val="en-US" w:eastAsia="zh-CN"/>
        </w:rPr>
      </w:pPr>
      <w:r>
        <w:rPr>
          <w:rFonts w:hint="eastAsia"/>
          <w:lang w:val="en-US" w:eastAsia="zh-CN"/>
        </w:rPr>
        <w:t>实际计算时，我们通常将一组查询向量同时打包成矩阵 \(Q\) 进行注意力函数的并行计算，键向量和值向量也相应打包为矩阵 \(K\) 和 \(V\)。最终输出的矩阵计算公式为：</w:t>
      </w:r>
    </w:p>
    <w:p w14:paraId="52E61B25">
      <w:r>
        <w:drawing>
          <wp:inline distT="0" distB="0" distL="114300" distR="114300">
            <wp:extent cx="3371850" cy="450850"/>
            <wp:effectExtent l="0" t="0" r="635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371850" cy="450850"/>
                    </a:xfrm>
                    <a:prstGeom prst="rect">
                      <a:avLst/>
                    </a:prstGeom>
                    <a:noFill/>
                    <a:ln>
                      <a:noFill/>
                    </a:ln>
                  </pic:spPr>
                </pic:pic>
              </a:graphicData>
            </a:graphic>
          </wp:inline>
        </w:drawing>
      </w:r>
    </w:p>
    <w:p w14:paraId="638ACA6D">
      <w:pPr>
        <w:ind w:firstLine="420" w:firstLineChars="0"/>
        <w:rPr>
          <w:rFonts w:hint="default"/>
          <w:lang w:val="en-US" w:eastAsia="zh-CN"/>
        </w:rPr>
      </w:pPr>
      <w:r>
        <w:rPr>
          <w:rFonts w:hint="default"/>
          <w:color w:val="FF0000"/>
          <w:highlight w:val="yellow"/>
          <w:lang w:val="en-US" w:eastAsia="zh-CN"/>
        </w:rPr>
        <w:t>最常用的两种注意力函数是加性注意力[2]和点积（乘法）注意力</w:t>
      </w:r>
      <w:r>
        <w:rPr>
          <w:rFonts w:hint="eastAsia"/>
          <w:color w:val="FF0000"/>
          <w:lang w:val="en-US" w:eastAsia="zh-CN"/>
        </w:rPr>
        <w:t>。</w:t>
      </w:r>
      <w:r>
        <w:rPr>
          <w:rFonts w:hint="default"/>
          <w:lang w:val="en-US" w:eastAsia="zh-CN"/>
        </w:rPr>
        <w:t>点积注意力与本文算法基本相同，区别仅在于多了一个缩放因子 \(1/\sqrt{d_k}\)。加性注意力通过包含单个隐藏层的前馈网络计算兼容性函数。虽然两种注意力在理论复杂度上相近，</w:t>
      </w:r>
      <w:r>
        <w:rPr>
          <w:rFonts w:hint="default"/>
          <w:color w:val="FF0000"/>
          <w:lang w:val="en-US" w:eastAsia="zh-CN"/>
        </w:rPr>
        <w:t>但点积注意力在实践中速度更快且空间效率更高，因为它可以通过高度优化的矩阵乘法代码实现</w:t>
      </w:r>
      <w:r>
        <w:rPr>
          <w:rFonts w:hint="default"/>
          <w:lang w:val="en-US" w:eastAsia="zh-CN"/>
        </w:rPr>
        <w:t>。</w:t>
      </w:r>
    </w:p>
    <w:p w14:paraId="2F8E9D71">
      <w:pPr>
        <w:rPr>
          <w:rFonts w:hint="default"/>
          <w:lang w:val="en-US" w:eastAsia="zh-CN"/>
        </w:rPr>
      </w:pPr>
    </w:p>
    <w:p w14:paraId="21A0087B">
      <w:pPr>
        <w:ind w:firstLine="420" w:firstLineChars="0"/>
        <w:rPr>
          <w:rFonts w:hint="default"/>
          <w:lang w:val="en-US" w:eastAsia="zh-CN"/>
        </w:rPr>
      </w:pPr>
      <w:r>
        <w:rPr>
          <w:rFonts w:hint="default"/>
          <w:color w:val="FF0000"/>
          <w:lang w:val="en-US" w:eastAsia="zh-CN"/>
        </w:rPr>
        <w:t>当 \(d_k\) 较小时，两种注意力机制性能相当；但当 \(d_k\) 较大时，未缩放的点积注意力表现会逊于加性注意力[3]</w:t>
      </w:r>
      <w:r>
        <w:rPr>
          <w:rFonts w:hint="default"/>
          <w:lang w:val="en-US" w:eastAsia="zh-CN"/>
        </w:rPr>
        <w:t>。我们认为这是由于当 \(d_k\) 较大时，点积结果数量级会急剧增大，从而将 softmax 函数推入梯度极小的区域。</w:t>
      </w:r>
      <w:r>
        <w:rPr>
          <w:rFonts w:hint="default"/>
          <w:color w:val="FF0000"/>
          <w:lang w:val="en-US" w:eastAsia="zh-CN"/>
        </w:rPr>
        <w:t>为抵消这种影响，我们将点积缩放为原来的 \(1/\sqrt{d_k}\) 倍</w:t>
      </w:r>
      <w:r>
        <w:rPr>
          <w:rFonts w:hint="default"/>
          <w:lang w:val="en-US" w:eastAsia="zh-CN"/>
        </w:rPr>
        <w:t>。</w:t>
      </w:r>
    </w:p>
    <w:p w14:paraId="4C5EFDE1">
      <w:pPr>
        <w:rPr>
          <w:rFonts w:hint="default"/>
          <w:lang w:val="en-US" w:eastAsia="zh-CN"/>
        </w:rPr>
      </w:pPr>
    </w:p>
    <w:p w14:paraId="289234A8">
      <w:pPr>
        <w:rPr>
          <w:rFonts w:hint="default"/>
          <w:lang w:val="en-US" w:eastAsia="zh-CN"/>
        </w:rPr>
      </w:pPr>
      <w:r>
        <w:rPr>
          <w:rFonts w:hint="default"/>
          <w:lang w:val="en-US" w:eastAsia="zh-CN"/>
        </w:rPr>
        <w:t>[脚注4]</w:t>
      </w:r>
    </w:p>
    <w:p w14:paraId="6513437F">
      <w:pPr>
        <w:rPr>
          <w:rFonts w:hint="default"/>
          <w:lang w:val="en-US" w:eastAsia="zh-CN"/>
        </w:rPr>
      </w:pPr>
      <w:r>
        <w:rPr>
          <w:rFonts w:hint="default"/>
          <w:lang w:val="en-US" w:eastAsia="zh-CN"/>
        </w:rPr>
        <w:t>例如，当维度 \(d_k=512\) 时，假设查询向量 \(\mathbf{q}\) 和键向量 \(\mathbf{k}\) 的各分量是均值为0、方差为1的独立随机变量，则其点积 \(\mathbf{q} \cdot \mathbf{k} = \sum_{i=1}^{d_k} q_i k_i\) 的均值为0、方差为 \(d_k\)。</w:t>
      </w:r>
    </w:p>
    <w:p w14:paraId="52D59569">
      <w:pPr>
        <w:pStyle w:val="4"/>
        <w:bidi w:val="0"/>
        <w:rPr>
          <w:rFonts w:hint="default" w:ascii="仿宋" w:hAnsi="仿宋" w:eastAsia="仿宋" w:cs="仿宋"/>
          <w:lang w:val="en-US" w:eastAsia="zh-CN"/>
        </w:rPr>
      </w:pPr>
      <w:r>
        <w:rPr>
          <w:rFonts w:hint="eastAsia"/>
          <w:lang w:val="en-US" w:eastAsia="zh-CN"/>
        </w:rPr>
        <w:t>【3.2.2】多头注意力</w:t>
      </w:r>
    </w:p>
    <w:p w14:paraId="678FCA18">
      <w:pPr>
        <w:bidi w:val="0"/>
        <w:ind w:firstLine="420" w:firstLineChars="200"/>
        <w:rPr>
          <w:rFonts w:hint="eastAsia" w:ascii="仿宋" w:hAnsi="仿宋" w:eastAsia="仿宋" w:cs="仿宋"/>
          <w:lang w:val="en-US" w:eastAsia="zh-CN"/>
        </w:rPr>
      </w:pPr>
      <w:r>
        <w:rPr>
          <w:rFonts w:hint="eastAsia" w:ascii="仿宋" w:hAnsi="仿宋" w:eastAsia="仿宋" w:cs="仿宋"/>
          <w:color w:val="FF0000"/>
          <w:highlight w:val="yellow"/>
          <w:lang w:val="en-US" w:eastAsia="zh-CN"/>
        </w:rPr>
        <w:t>相较于使用一个单一的注意力函数处理维度为d_model的键、值与查询，我们发现通过不同的可学习线性映射将查询、键和值分别线性投影到d_k、d_k和d_v维度，并重复进行h次操作更为有效</w:t>
      </w:r>
      <w:r>
        <w:rPr>
          <w:rFonts w:hint="eastAsia" w:ascii="仿宋" w:hAnsi="仿宋" w:eastAsia="仿宋" w:cs="仿宋"/>
          <w:lang w:val="en-US" w:eastAsia="zh-CN"/>
        </w:rPr>
        <w:t>。随后，我们对这些经过投影的查询、键和值并行执行注意力计算，生成d_v维的输出值。</w:t>
      </w:r>
      <w:r>
        <w:rPr>
          <w:rFonts w:hint="eastAsia" w:ascii="仿宋" w:hAnsi="仿宋" w:eastAsia="仿宋" w:cs="仿宋"/>
          <w:color w:val="FF0000"/>
          <w:highlight w:val="yellow"/>
          <w:lang w:val="en-US" w:eastAsia="zh-CN"/>
        </w:rPr>
        <w:t>这些输出被拼接后再次进行投影，最终得到结果值</w:t>
      </w:r>
      <w:r>
        <w:rPr>
          <w:rFonts w:hint="eastAsia" w:ascii="仿宋" w:hAnsi="仿宋" w:eastAsia="仿宋" w:cs="仿宋"/>
          <w:lang w:val="en-US" w:eastAsia="zh-CN"/>
        </w:rPr>
        <w:t>，如图2所示。</w:t>
      </w:r>
    </w:p>
    <w:p w14:paraId="5A113913">
      <w:pPr>
        <w:bidi w:val="0"/>
        <w:ind w:firstLine="420" w:firstLineChars="200"/>
        <w:rPr>
          <w:rFonts w:hint="eastAsia" w:ascii="仿宋" w:hAnsi="仿宋" w:eastAsia="仿宋" w:cs="仿宋"/>
          <w:lang w:val="en-US" w:eastAsia="zh-CN"/>
        </w:rPr>
      </w:pPr>
    </w:p>
    <w:p w14:paraId="19ABE7C7">
      <w:pPr>
        <w:bidi w:val="0"/>
        <w:ind w:firstLine="420" w:firstLineChars="200"/>
        <w:rPr>
          <w:rFonts w:hint="eastAsia" w:ascii="仿宋" w:hAnsi="仿宋" w:eastAsia="仿宋" w:cs="仿宋"/>
          <w:lang w:val="en-US" w:eastAsia="zh-CN"/>
        </w:rPr>
      </w:pPr>
      <w:r>
        <w:rPr>
          <w:rFonts w:hint="eastAsia" w:ascii="仿宋" w:hAnsi="仿宋" w:eastAsia="仿宋" w:cs="仿宋"/>
          <w:color w:val="FF0000"/>
          <w:lang w:val="en-US" w:eastAsia="zh-CN"/>
        </w:rPr>
        <w:t>多头注意力机制使模型能够同时关注来自不同位置、不同表示子空间的信息</w:t>
      </w:r>
      <w:r>
        <w:rPr>
          <w:rFonts w:hint="eastAsia" w:ascii="仿宋" w:hAnsi="仿宋" w:eastAsia="仿宋" w:cs="仿宋"/>
          <w:lang w:val="en-US" w:eastAsia="zh-CN"/>
        </w:rPr>
        <w:t>。若仅使用单头注意力，其平均操作会限制这种能力。</w:t>
      </w:r>
    </w:p>
    <w:p w14:paraId="02DEA45C">
      <w:pPr>
        <w:bidi w:val="0"/>
        <w:ind w:firstLine="420" w:firstLineChars="200"/>
        <w:rPr>
          <w:rFonts w:hint="eastAsia" w:ascii="仿宋" w:hAnsi="仿宋" w:eastAsia="仿宋" w:cs="仿宋"/>
        </w:rPr>
      </w:pPr>
      <w:r>
        <w:rPr>
          <w:rFonts w:hint="eastAsia" w:ascii="仿宋" w:hAnsi="仿宋" w:eastAsia="仿宋" w:cs="仿宋"/>
        </w:rPr>
        <w:drawing>
          <wp:inline distT="0" distB="0" distL="114300" distR="114300">
            <wp:extent cx="3143250" cy="53340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3143250" cy="533400"/>
                    </a:xfrm>
                    <a:prstGeom prst="rect">
                      <a:avLst/>
                    </a:prstGeom>
                    <a:noFill/>
                    <a:ln>
                      <a:noFill/>
                    </a:ln>
                  </pic:spPr>
                </pic:pic>
              </a:graphicData>
            </a:graphic>
          </wp:inline>
        </w:drawing>
      </w:r>
    </w:p>
    <w:p w14:paraId="52DB1465">
      <w:pPr>
        <w:bidi w:val="0"/>
        <w:ind w:firstLine="420" w:firstLineChars="200"/>
        <w:rPr>
          <w:rFonts w:hint="eastAsia" w:ascii="仿宋" w:hAnsi="仿宋" w:eastAsia="仿宋" w:cs="仿宋"/>
        </w:rPr>
      </w:pPr>
    </w:p>
    <w:p w14:paraId="43521454">
      <w:pPr>
        <w:bidi w:val="0"/>
        <w:ind w:firstLine="420" w:firstLineChars="200"/>
        <w:rPr>
          <w:rFonts w:hint="eastAsia" w:ascii="仿宋" w:hAnsi="仿宋" w:eastAsia="仿宋" w:cs="仿宋"/>
          <w:lang w:val="en-US" w:eastAsia="zh-CN"/>
        </w:rPr>
      </w:pPr>
      <w:r>
        <w:rPr>
          <w:rFonts w:hint="eastAsia" w:ascii="仿宋" w:hAnsi="仿宋" w:eastAsia="仿宋" w:cs="仿宋"/>
          <w:lang w:val="en-US" w:eastAsia="zh-CN"/>
        </w:rPr>
        <w:t>其中，投影是参数矩阵 W。</w:t>
      </w:r>
    </w:p>
    <w:p w14:paraId="4DD65F89">
      <w:pPr>
        <w:bidi w:val="0"/>
        <w:ind w:firstLine="420" w:firstLineChars="200"/>
        <w:rPr>
          <w:rFonts w:hint="eastAsia" w:ascii="仿宋" w:hAnsi="仿宋" w:eastAsia="仿宋" w:cs="仿宋"/>
          <w:lang w:val="en-US" w:eastAsia="zh-CN"/>
        </w:rPr>
      </w:pPr>
    </w:p>
    <w:p w14:paraId="45CF3483">
      <w:pPr>
        <w:bidi w:val="0"/>
        <w:ind w:firstLine="420" w:firstLineChars="200"/>
        <w:rPr>
          <w:rFonts w:hint="eastAsia" w:ascii="仿宋" w:hAnsi="仿宋" w:eastAsia="仿宋" w:cs="仿宋"/>
          <w:lang w:val="en-US" w:eastAsia="zh-CN"/>
        </w:rPr>
      </w:pPr>
      <w:r>
        <w:rPr>
          <w:rFonts w:hint="eastAsia" w:ascii="仿宋" w:hAnsi="仿宋" w:eastAsia="仿宋" w:cs="仿宋"/>
          <w:color w:val="FF0000"/>
          <w:highlight w:val="yellow"/>
          <w:lang w:val="en-US" w:eastAsia="zh-CN"/>
        </w:rPr>
        <w:t>在本研究中，我们采用了 h = 8 个并行的注意力层（即注意力头）。每个注意力头的维度设定为 dk = dv = dmodel/h = 64。由于每个注意力头的维度有所降低，其总体计算成本与使用完整维度的单头注意力模型相近</w:t>
      </w:r>
      <w:r>
        <w:rPr>
          <w:rFonts w:hint="eastAsia" w:ascii="仿宋" w:hAnsi="仿宋" w:eastAsia="仿宋" w:cs="仿宋"/>
          <w:lang w:val="en-US" w:eastAsia="zh-CN"/>
        </w:rPr>
        <w:t>。</w:t>
      </w:r>
    </w:p>
    <w:p w14:paraId="11916B4B">
      <w:pPr>
        <w:bidi w:val="0"/>
        <w:ind w:firstLine="420" w:firstLineChars="200"/>
        <w:rPr>
          <w:rFonts w:hint="eastAsia" w:ascii="仿宋" w:hAnsi="仿宋" w:eastAsia="仿宋" w:cs="仿宋"/>
          <w:lang w:val="en-US" w:eastAsia="zh-CN"/>
        </w:rPr>
      </w:pPr>
    </w:p>
    <w:p w14:paraId="34C2227B">
      <w:pPr>
        <w:pStyle w:val="4"/>
        <w:bidi w:val="0"/>
        <w:rPr>
          <w:rFonts w:hint="default"/>
          <w:lang w:val="en-US" w:eastAsia="zh-CN"/>
        </w:rPr>
      </w:pPr>
      <w:r>
        <w:rPr>
          <w:rFonts w:hint="eastAsia"/>
          <w:lang w:val="en-US" w:eastAsia="zh-CN"/>
        </w:rPr>
        <w:t xml:space="preserve">【3.2.3】注意力机制在我们模型中的应用*【非常重要】  </w:t>
      </w:r>
    </w:p>
    <w:p w14:paraId="7E5F3256">
      <w:pPr>
        <w:ind w:firstLine="420" w:firstLineChars="0"/>
        <w:rPr>
          <w:rFonts w:hint="eastAsia"/>
          <w:lang w:val="en-US" w:eastAsia="zh-CN"/>
        </w:rPr>
      </w:pPr>
      <w:r>
        <w:rPr>
          <w:rFonts w:hint="eastAsia"/>
          <w:lang w:val="en-US" w:eastAsia="zh-CN"/>
        </w:rPr>
        <w:t>转换器在3个不同方面使用多头注意力机制。</w:t>
      </w:r>
    </w:p>
    <w:p w14:paraId="63DE8080">
      <w:pPr>
        <w:numPr>
          <w:ilvl w:val="0"/>
          <w:numId w:val="1"/>
        </w:numPr>
        <w:ind w:left="0" w:leftChars="0" w:firstLine="420" w:firstLineChars="200"/>
        <w:rPr>
          <w:rFonts w:hint="eastAsia"/>
          <w:lang w:val="en-US" w:eastAsia="zh-CN"/>
        </w:rPr>
      </w:pPr>
      <w:r>
        <w:rPr>
          <w:rFonts w:hint="eastAsia"/>
          <w:color w:val="FF0000"/>
          <w:highlight w:val="yellow"/>
          <w:lang w:val="en-US" w:eastAsia="zh-CN"/>
        </w:rPr>
        <w:t>在"编码器-解码器注意力"层中，查询向量来自解码器的前一层，而记忆键向量和值向量则来自编码器的输出</w:t>
      </w:r>
      <w:r>
        <w:rPr>
          <w:rFonts w:hint="eastAsia"/>
          <w:lang w:val="en-US" w:eastAsia="zh-CN"/>
        </w:rPr>
        <w:t>。这使得解码器中的每个位置都能关注输入序列中的所有位置。</w:t>
      </w:r>
      <w:r>
        <w:rPr>
          <w:rFonts w:hint="eastAsia"/>
          <w:color w:val="FF0000"/>
          <w:lang w:val="en-US" w:eastAsia="zh-CN"/>
        </w:rPr>
        <w:t>这模拟了序列到序列模型（如[38, 2, 9]）中典型的编码器-解码器注意力机制</w:t>
      </w:r>
      <w:r>
        <w:rPr>
          <w:rFonts w:hint="eastAsia"/>
          <w:lang w:val="en-US" w:eastAsia="zh-CN"/>
        </w:rPr>
        <w:t>。</w:t>
      </w:r>
    </w:p>
    <w:p w14:paraId="61A2A9CC">
      <w:pPr>
        <w:numPr>
          <w:ilvl w:val="0"/>
          <w:numId w:val="1"/>
        </w:numPr>
        <w:ind w:left="0" w:leftChars="0" w:firstLine="420" w:firstLineChars="200"/>
        <w:rPr>
          <w:rFonts w:hint="eastAsia"/>
          <w:lang w:val="en-US" w:eastAsia="zh-CN"/>
        </w:rPr>
      </w:pPr>
      <w:r>
        <w:rPr>
          <w:rFonts w:hint="eastAsia"/>
          <w:color w:val="FF0000"/>
          <w:highlight w:val="yellow"/>
          <w:lang w:val="en-US" w:eastAsia="zh-CN"/>
        </w:rPr>
        <w:t>编码器包含自注意力层。在自注意力层中，所有的键向量、值向量和查询向量都来自同一来源——即编码器中前一层的输出</w:t>
      </w:r>
      <w:r>
        <w:rPr>
          <w:rFonts w:hint="eastAsia"/>
          <w:lang w:val="en-US" w:eastAsia="zh-CN"/>
        </w:rPr>
        <w:t xml:space="preserve">。编码器中的每个位置都可以关注到编码器前一层中的所有位置。  </w:t>
      </w:r>
    </w:p>
    <w:p w14:paraId="6FC9EBCB">
      <w:pPr>
        <w:numPr>
          <w:ilvl w:val="0"/>
          <w:numId w:val="1"/>
        </w:numPr>
        <w:ind w:left="0" w:leftChars="0" w:firstLine="420" w:firstLineChars="200"/>
        <w:rPr>
          <w:rFonts w:hint="eastAsia"/>
          <w:lang w:val="en-US" w:eastAsia="zh-CN"/>
        </w:rPr>
      </w:pPr>
      <w:r>
        <w:rPr>
          <w:rFonts w:hint="eastAsia"/>
          <w:color w:val="FF0000"/>
          <w:highlight w:val="yellow"/>
          <w:lang w:val="en-US" w:eastAsia="zh-CN"/>
        </w:rPr>
        <w:t>类似地，解码器中的自注意力层允许解码器中的每个位置关注解码器中包括当前位置在内的所有历史位置</w:t>
      </w:r>
      <w:r>
        <w:rPr>
          <w:rFonts w:hint="eastAsia"/>
          <w:lang w:val="en-US" w:eastAsia="zh-CN"/>
        </w:rPr>
        <w:t>。为保持自回归特性，我们需要阻止解码器中的左向信息流。</w:t>
      </w:r>
      <w:r>
        <w:rPr>
          <w:rFonts w:hint="eastAsia"/>
          <w:color w:val="FF0000"/>
          <w:lang w:val="en-US" w:eastAsia="zh-CN"/>
        </w:rPr>
        <w:t>我们通过在缩放点积注意力中对softmax的输入进行掩码处理（将非法连接对应的值设为−∞）来实现这一点</w:t>
      </w:r>
      <w:r>
        <w:rPr>
          <w:rFonts w:hint="eastAsia"/>
          <w:lang w:val="en-US" w:eastAsia="zh-CN"/>
        </w:rPr>
        <w:t>。参见图2。</w:t>
      </w:r>
    </w:p>
    <w:p w14:paraId="5F4F249B">
      <w:pPr>
        <w:rPr>
          <w:rFonts w:hint="default"/>
          <w:lang w:val="en-US" w:eastAsia="zh-CN"/>
        </w:rPr>
      </w:pPr>
    </w:p>
    <w:p w14:paraId="1E34319D">
      <w:pPr>
        <w:pStyle w:val="3"/>
        <w:bidi w:val="0"/>
        <w:rPr>
          <w:rFonts w:hint="eastAsia"/>
          <w:lang w:val="en-US" w:eastAsia="zh-CN"/>
        </w:rPr>
      </w:pPr>
      <w:r>
        <w:rPr>
          <w:rFonts w:hint="eastAsia"/>
          <w:lang w:val="en-US" w:eastAsia="zh-CN"/>
        </w:rPr>
        <w:t>【3.3】逐个位置的前馈神经网络</w:t>
      </w:r>
    </w:p>
    <w:p w14:paraId="0F21ED21">
      <w:pPr>
        <w:ind w:firstLine="420" w:firstLineChars="0"/>
        <w:rPr>
          <w:rFonts w:hint="default"/>
          <w:lang w:val="en-US" w:eastAsia="zh-CN"/>
        </w:rPr>
      </w:pPr>
      <w:r>
        <w:rPr>
          <w:rFonts w:hint="default"/>
          <w:color w:val="FF0000"/>
          <w:lang w:val="en-US" w:eastAsia="zh-CN"/>
        </w:rPr>
        <w:t>除了注意力子层外，我们的编码器和解码器中的每一层都包含一个全连接前馈网络，该网络被独立且一致地应用于每个位置</w:t>
      </w:r>
      <w:r>
        <w:rPr>
          <w:rFonts w:hint="default"/>
          <w:lang w:val="en-US" w:eastAsia="zh-CN"/>
        </w:rPr>
        <w:t>。它由两个线性变换组成，中间通过ReLU激活函数连接。</w:t>
      </w:r>
    </w:p>
    <w:p w14:paraId="37A4D885">
      <w:r>
        <w:drawing>
          <wp:inline distT="0" distB="0" distL="114300" distR="114300">
            <wp:extent cx="3676650" cy="45720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676650" cy="457200"/>
                    </a:xfrm>
                    <a:prstGeom prst="rect">
                      <a:avLst/>
                    </a:prstGeom>
                    <a:noFill/>
                    <a:ln>
                      <a:noFill/>
                    </a:ln>
                  </pic:spPr>
                </pic:pic>
              </a:graphicData>
            </a:graphic>
          </wp:inline>
        </w:drawing>
      </w:r>
    </w:p>
    <w:p w14:paraId="3D661A4A"/>
    <w:p w14:paraId="3B169BEF">
      <w:pPr>
        <w:ind w:firstLine="420" w:firstLineChars="0"/>
        <w:rPr>
          <w:rFonts w:hint="default"/>
          <w:lang w:val="en-US" w:eastAsia="zh-CN"/>
        </w:rPr>
      </w:pPr>
      <w:r>
        <w:rPr>
          <w:rFonts w:hint="default"/>
          <w:lang w:val="en-US" w:eastAsia="zh-CN"/>
        </w:rPr>
        <w:t>虽然线性变换在不同位置之间是相同的，但它们在层与层之间使用不同的参数。另一种描述方式是将其视为两个核大小为1的卷积操作。输入和输出的维度为 d_model = 512，中间层的维度为 d_ff = 2048。</w:t>
      </w:r>
    </w:p>
    <w:p w14:paraId="43867EC2">
      <w:pPr>
        <w:rPr>
          <w:rFonts w:hint="default"/>
          <w:lang w:val="en-US" w:eastAsia="zh-CN"/>
        </w:rPr>
      </w:pPr>
    </w:p>
    <w:p w14:paraId="0929EE8D">
      <w:pPr>
        <w:rPr>
          <w:rFonts w:hint="default"/>
          <w:lang w:val="en-US" w:eastAsia="zh-CN"/>
        </w:rPr>
      </w:pPr>
      <w:r>
        <w:rPr>
          <w:rFonts w:hint="eastAsia"/>
          <w:lang w:val="en-US" w:eastAsia="zh-CN"/>
        </w:rPr>
        <w:t xml:space="preserve">--- 202601250843 </w:t>
      </w:r>
    </w:p>
    <w:p w14:paraId="7D7949CD">
      <w:pPr>
        <w:pStyle w:val="3"/>
        <w:bidi w:val="0"/>
        <w:rPr>
          <w:rFonts w:hint="eastAsia"/>
          <w:lang w:val="en-US" w:eastAsia="zh-CN"/>
        </w:rPr>
      </w:pPr>
      <w:r>
        <w:rPr>
          <w:rFonts w:hint="eastAsia"/>
          <w:lang w:val="en-US" w:eastAsia="zh-CN"/>
        </w:rPr>
        <w:t>【3.4】嵌入层与softmax函数</w:t>
      </w:r>
    </w:p>
    <w:p w14:paraId="73898A9D">
      <w:pPr>
        <w:ind w:firstLine="420" w:firstLineChars="0"/>
        <w:rPr>
          <w:rFonts w:hint="default"/>
          <w:lang w:val="en-US" w:eastAsia="zh-CN"/>
        </w:rPr>
      </w:pPr>
      <w:r>
        <w:rPr>
          <w:rFonts w:hint="default"/>
          <w:color w:val="FF0000"/>
          <w:lang w:val="en-US" w:eastAsia="zh-CN"/>
        </w:rPr>
        <w:t>与其他序列转换模型类似，我们使用可学习的嵌入层将输入标记和输出标记转换为维度为d_model的向量</w:t>
      </w:r>
      <w:r>
        <w:rPr>
          <w:rFonts w:hint="default"/>
          <w:lang w:val="en-US" w:eastAsia="zh-CN"/>
        </w:rPr>
        <w:t>。</w:t>
      </w:r>
      <w:r>
        <w:rPr>
          <w:rFonts w:hint="default"/>
          <w:color w:val="FF0000"/>
          <w:lang w:val="en-US" w:eastAsia="zh-CN"/>
        </w:rPr>
        <w:t>同时，我们采用常规的可学习线性变换和softmax函数将解码器输出转换为预测的下一个标记的概率分布</w:t>
      </w:r>
      <w:r>
        <w:rPr>
          <w:rFonts w:hint="default"/>
          <w:lang w:val="en-US" w:eastAsia="zh-CN"/>
        </w:rPr>
        <w:t>。在我们的模型中，两个嵌入层与softmax前的线性变换共享同一权重矩阵，这与文献[30]的做法相似。在嵌入层中，我们将这些权重乘以√d_model。</w:t>
      </w:r>
      <w:r>
        <w:rPr>
          <w:rFonts w:hint="eastAsia"/>
          <w:lang w:val="en-US" w:eastAsia="zh-CN"/>
        </w:rPr>
        <w:t xml:space="preserve"> </w:t>
      </w:r>
    </w:p>
    <w:p w14:paraId="4FAC45C7">
      <w:pPr>
        <w:ind w:firstLine="420" w:firstLineChars="0"/>
        <w:rPr>
          <w:rFonts w:hint="default"/>
          <w:lang w:val="en-US" w:eastAsia="zh-CN"/>
        </w:rPr>
      </w:pPr>
    </w:p>
    <w:p w14:paraId="325234C2">
      <w:pPr>
        <w:ind w:firstLine="420" w:firstLineChars="0"/>
        <w:rPr>
          <w:rFonts w:hint="default"/>
          <w:lang w:val="en-US" w:eastAsia="zh-CN"/>
        </w:rPr>
      </w:pPr>
      <w:r>
        <w:rPr>
          <w:rFonts w:hint="default"/>
          <w:color w:val="FF0000"/>
          <w:lang w:val="en-US" w:eastAsia="zh-CN"/>
        </w:rPr>
        <w:t>表1：不同网络层类型的最大路径长度、单层计算复杂度及最小顺序操作数。其中n为序列长度，d为特征表示维度，k为卷积核尺寸，r为受限自注意力机制的局部邻域范围</w:t>
      </w:r>
      <w:r>
        <w:rPr>
          <w:rFonts w:hint="default"/>
          <w:lang w:val="en-US" w:eastAsia="zh-CN"/>
        </w:rPr>
        <w:t>。</w:t>
      </w:r>
    </w:p>
    <w:p w14:paraId="7B177C18">
      <w:pPr>
        <w:ind w:firstLine="420" w:firstLineChars="0"/>
      </w:pPr>
      <w:r>
        <w:drawing>
          <wp:inline distT="0" distB="0" distL="114300" distR="114300">
            <wp:extent cx="4883150" cy="1060450"/>
            <wp:effectExtent l="0" t="0" r="190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883150" cy="1060450"/>
                    </a:xfrm>
                    <a:prstGeom prst="rect">
                      <a:avLst/>
                    </a:prstGeom>
                    <a:noFill/>
                    <a:ln>
                      <a:noFill/>
                    </a:ln>
                  </pic:spPr>
                </pic:pic>
              </a:graphicData>
            </a:graphic>
          </wp:inline>
        </w:drawing>
      </w:r>
    </w:p>
    <w:p w14:paraId="735F4AB8">
      <w:pPr>
        <w:ind w:firstLine="420" w:firstLineChars="0"/>
      </w:pPr>
    </w:p>
    <w:p w14:paraId="47918D08">
      <w:pPr>
        <w:ind w:firstLine="420" w:firstLineChars="0"/>
        <w:rPr>
          <w:rFonts w:hint="default"/>
          <w:lang w:val="en-US" w:eastAsia="zh-CN"/>
        </w:rPr>
      </w:pPr>
    </w:p>
    <w:p w14:paraId="46F399CC">
      <w:pPr>
        <w:pStyle w:val="3"/>
        <w:bidi w:val="0"/>
        <w:rPr>
          <w:rFonts w:hint="eastAsia"/>
          <w:lang w:val="en-US" w:eastAsia="zh-CN"/>
        </w:rPr>
      </w:pPr>
      <w:r>
        <w:rPr>
          <w:rFonts w:hint="eastAsia"/>
          <w:lang w:val="en-US" w:eastAsia="zh-CN"/>
        </w:rPr>
        <w:t>【3.5】位置编码</w:t>
      </w:r>
    </w:p>
    <w:p w14:paraId="668ED50F">
      <w:pPr>
        <w:ind w:firstLine="420" w:firstLineChars="0"/>
        <w:rPr>
          <w:rFonts w:hint="eastAsia"/>
          <w:lang w:val="en-US" w:eastAsia="zh-CN"/>
        </w:rPr>
      </w:pPr>
      <w:r>
        <w:rPr>
          <w:rFonts w:hint="eastAsia"/>
          <w:color w:val="FF0000"/>
          <w:lang w:val="en-US" w:eastAsia="zh-CN"/>
        </w:rPr>
        <w:t>由于我们的模型不包含循环或卷积结构，为了让模型能够利用序列的顺序信息，我们必须向模型中注入关于序列中标记的相对位置或绝对位置的信息</w:t>
      </w:r>
      <w:r>
        <w:rPr>
          <w:rFonts w:hint="eastAsia"/>
          <w:lang w:val="en-US" w:eastAsia="zh-CN"/>
        </w:rPr>
        <w:t>。为此，我们在编码器和解码器堆栈底部的输入嵌入中添加了"位置编码"。</w:t>
      </w:r>
      <w:r>
        <w:rPr>
          <w:rFonts w:hint="eastAsia"/>
          <w:color w:val="FF0000"/>
          <w:lang w:val="en-US" w:eastAsia="zh-CN"/>
        </w:rPr>
        <w:t>位置编码的维度d_model与嵌入维度相同，以便二者可以相加</w:t>
      </w:r>
      <w:r>
        <w:rPr>
          <w:rFonts w:hint="eastAsia"/>
          <w:lang w:val="en-US" w:eastAsia="zh-CN"/>
        </w:rPr>
        <w:t>。位置编码有多种选择，包括可学习的和固定的[9]。</w:t>
      </w:r>
    </w:p>
    <w:p w14:paraId="4106937A">
      <w:pPr>
        <w:rPr>
          <w:rFonts w:hint="eastAsia"/>
          <w:lang w:val="en-US" w:eastAsia="zh-CN"/>
        </w:rPr>
      </w:pPr>
    </w:p>
    <w:p w14:paraId="4A107C1D">
      <w:pPr>
        <w:rPr>
          <w:rFonts w:hint="eastAsia"/>
          <w:lang w:val="en-US" w:eastAsia="zh-CN"/>
        </w:rPr>
      </w:pPr>
      <w:r>
        <w:rPr>
          <w:rFonts w:hint="eastAsia"/>
          <w:lang w:val="en-US" w:eastAsia="zh-CN"/>
        </w:rPr>
        <w:t>在本研究中，我们使用不同频率的正弦和余弦函数：</w:t>
      </w:r>
    </w:p>
    <w:p w14:paraId="31F3409A">
      <w:pPr>
        <w:rPr>
          <w:rFonts w:hint="default"/>
          <w:lang w:val="en-US" w:eastAsia="zh-CN"/>
        </w:rPr>
      </w:pPr>
    </w:p>
    <w:p w14:paraId="278838BA">
      <w:r>
        <w:drawing>
          <wp:inline distT="0" distB="0" distL="114300" distR="114300">
            <wp:extent cx="2209800" cy="546100"/>
            <wp:effectExtent l="0" t="0" r="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2209800" cy="546100"/>
                    </a:xfrm>
                    <a:prstGeom prst="rect">
                      <a:avLst/>
                    </a:prstGeom>
                    <a:noFill/>
                    <a:ln>
                      <a:noFill/>
                    </a:ln>
                  </pic:spPr>
                </pic:pic>
              </a:graphicData>
            </a:graphic>
          </wp:inline>
        </w:drawing>
      </w:r>
    </w:p>
    <w:p w14:paraId="69AFAF05"/>
    <w:p w14:paraId="63DF02F2">
      <w:pPr>
        <w:rPr>
          <w:rFonts w:hint="default"/>
          <w:lang w:val="en-US" w:eastAsia="zh-CN"/>
        </w:rPr>
      </w:pPr>
      <w:r>
        <w:rPr>
          <w:rFonts w:hint="default"/>
          <w:color w:val="FF0000"/>
          <w:lang w:val="en-US" w:eastAsia="zh-CN"/>
        </w:rPr>
        <w:t>其中`pos`表示位置，`i`表示维度。也就是说，位置编码的每个维度对应一个正弦波</w:t>
      </w:r>
      <w:r>
        <w:rPr>
          <w:rFonts w:hint="default"/>
          <w:lang w:val="en-US" w:eastAsia="zh-CN"/>
        </w:rPr>
        <w:t>。</w:t>
      </w:r>
      <w:r>
        <w:rPr>
          <w:rFonts w:hint="default"/>
          <w:color w:val="FF0000"/>
          <w:lang w:val="en-US" w:eastAsia="zh-CN"/>
        </w:rPr>
        <w:t>其波长构成从2π到10000·2π的几何级数</w:t>
      </w:r>
      <w:r>
        <w:rPr>
          <w:rFonts w:hint="default"/>
          <w:lang w:val="en-US" w:eastAsia="zh-CN"/>
        </w:rPr>
        <w:t>。我们选择这个函数是因为我们假设它能让模型更容易地学习基于相对位置的注意力机制，因为对于任意固定偏移量k，`PE_{pos+k}`可以表示为`PE_{pos}`的线性函数。</w:t>
      </w:r>
    </w:p>
    <w:p w14:paraId="7B62B9B9">
      <w:pPr>
        <w:rPr>
          <w:rFonts w:hint="default"/>
          <w:lang w:val="en-US" w:eastAsia="zh-CN"/>
        </w:rPr>
      </w:pPr>
    </w:p>
    <w:p w14:paraId="192F5DF2">
      <w:pPr>
        <w:rPr>
          <w:rFonts w:hint="default"/>
          <w:lang w:val="en-US" w:eastAsia="zh-CN"/>
        </w:rPr>
      </w:pPr>
      <w:r>
        <w:rPr>
          <w:rFonts w:hint="default"/>
          <w:lang w:val="en-US" w:eastAsia="zh-CN"/>
        </w:rPr>
        <w:t>我们也尝试使用可学习的位置嵌入[9]进行对比实验，发现两种方法产生的结果几乎相同（参见表3第(E)行）。</w:t>
      </w:r>
      <w:r>
        <w:rPr>
          <w:rFonts w:hint="default"/>
          <w:color w:val="FF0000"/>
          <w:lang w:val="en-US" w:eastAsia="zh-CN"/>
        </w:rPr>
        <w:t>最终我们选择正弦波版本，因为它可能使模型能够外推到比训练时遇到的序列更长的序列</w:t>
      </w:r>
      <w:r>
        <w:rPr>
          <w:rFonts w:hint="default"/>
          <w:lang w:val="en-US" w:eastAsia="zh-CN"/>
        </w:rPr>
        <w:t>。</w:t>
      </w:r>
      <w:r>
        <w:rPr>
          <w:rFonts w:hint="eastAsia"/>
          <w:lang w:val="en-US" w:eastAsia="zh-CN"/>
        </w:rPr>
        <w:t xml:space="preserve"> </w:t>
      </w:r>
    </w:p>
    <w:p w14:paraId="349AFAAA">
      <w:pPr>
        <w:rPr>
          <w:rFonts w:hint="default"/>
          <w:lang w:val="en-US" w:eastAsia="zh-CN"/>
        </w:rPr>
      </w:pPr>
    </w:p>
    <w:p w14:paraId="32072E46">
      <w:pPr>
        <w:pStyle w:val="2"/>
        <w:bidi w:val="0"/>
        <w:rPr>
          <w:rFonts w:hint="eastAsia"/>
          <w:lang w:val="en-US" w:eastAsia="zh-CN"/>
        </w:rPr>
      </w:pPr>
      <w:r>
        <w:rPr>
          <w:rFonts w:hint="eastAsia"/>
          <w:lang w:val="en-US" w:eastAsia="zh-CN"/>
        </w:rPr>
        <w:t>【4】为什么称自注意力</w:t>
      </w:r>
    </w:p>
    <w:p w14:paraId="66AFCDDE">
      <w:pPr>
        <w:ind w:firstLine="420" w:firstLineChars="0"/>
        <w:rPr>
          <w:rFonts w:hint="default"/>
          <w:lang w:val="en-US" w:eastAsia="zh-CN"/>
        </w:rPr>
      </w:pPr>
      <w:r>
        <w:rPr>
          <w:rFonts w:hint="default"/>
          <w:color w:val="FF0000"/>
          <w:lang w:val="en-US" w:eastAsia="zh-CN"/>
        </w:rPr>
        <w:t>本节我们将从多个维度对比自注意力层与常用于映射变长符号序列（如典型的序列转码编码器或解码器中的隐藏层）的循环层和卷积层</w:t>
      </w:r>
      <w:r>
        <w:rPr>
          <w:rFonts w:hint="default"/>
          <w:lang w:val="en-US" w:eastAsia="zh-CN"/>
        </w:rPr>
        <w:t>，其中输入序列为 (x₁, ..., xₙ)，输出序列为 (z₁, ..., zₙ)，且 xᵢ, zᵢ ∈ ℝᵈ。</w:t>
      </w:r>
      <w:r>
        <w:rPr>
          <w:rFonts w:hint="default"/>
          <w:color w:val="FF0000"/>
          <w:highlight w:val="yellow"/>
          <w:lang w:val="en-US" w:eastAsia="zh-CN"/>
        </w:rPr>
        <w:t>我们主要基于以下三个考量来阐述采用自注意力的动机</w:t>
      </w:r>
      <w:r>
        <w:rPr>
          <w:rFonts w:hint="default"/>
          <w:lang w:val="en-US" w:eastAsia="zh-CN"/>
        </w:rPr>
        <w:t>。</w:t>
      </w:r>
    </w:p>
    <w:p w14:paraId="3819AAEA">
      <w:pPr>
        <w:rPr>
          <w:rFonts w:hint="default"/>
          <w:lang w:val="en-US" w:eastAsia="zh-CN"/>
        </w:rPr>
      </w:pPr>
    </w:p>
    <w:p w14:paraId="4C19D0EA">
      <w:pPr>
        <w:ind w:firstLine="420" w:firstLineChars="0"/>
        <w:rPr>
          <w:rFonts w:hint="default"/>
          <w:lang w:val="en-US" w:eastAsia="zh-CN"/>
        </w:rPr>
      </w:pPr>
      <w:r>
        <w:rPr>
          <w:rFonts w:hint="default"/>
          <w:color w:val="FF0000"/>
          <w:lang w:val="en-US" w:eastAsia="zh-CN"/>
        </w:rPr>
        <w:t>首先是每层的总计算复杂度。其次是可以并行化的计算量</w:t>
      </w:r>
      <w:r>
        <w:rPr>
          <w:rFonts w:hint="default"/>
          <w:lang w:val="en-US" w:eastAsia="zh-CN"/>
        </w:rPr>
        <w:t>，这通过所需的最小顺序操作数来衡量。</w:t>
      </w:r>
    </w:p>
    <w:p w14:paraId="4690E8B9">
      <w:pPr>
        <w:rPr>
          <w:rFonts w:hint="default"/>
          <w:lang w:val="en-US" w:eastAsia="zh-CN"/>
        </w:rPr>
      </w:pPr>
    </w:p>
    <w:p w14:paraId="1B7F6CF6">
      <w:pPr>
        <w:ind w:firstLine="420" w:firstLineChars="0"/>
        <w:rPr>
          <w:rFonts w:hint="default"/>
          <w:color w:val="FF0000"/>
          <w:lang w:val="en-US" w:eastAsia="zh-CN"/>
        </w:rPr>
      </w:pPr>
      <w:r>
        <w:rPr>
          <w:rFonts w:hint="default"/>
          <w:color w:val="FF0000"/>
          <w:lang w:val="en-US" w:eastAsia="zh-CN"/>
        </w:rPr>
        <w:t>第三是网络中长距离依赖之间的路径长度。学习长距离依赖是许多序列转码任务的关键挑战。</w:t>
      </w:r>
      <w:r>
        <w:rPr>
          <w:rFonts w:hint="default"/>
          <w:lang w:val="en-US" w:eastAsia="zh-CN"/>
        </w:rPr>
        <w:t>影响这种依赖学习能力的关键因素之一是前向与后向信号在网络中需要传播的路径长度。</w:t>
      </w:r>
      <w:r>
        <w:rPr>
          <w:rFonts w:hint="default"/>
          <w:color w:val="FF0000"/>
          <w:lang w:val="en-US" w:eastAsia="zh-CN"/>
        </w:rPr>
        <w:t>输入和输出序列中任意位置组合之间的路径越短，学习长距离依赖就越容易</w:t>
      </w:r>
      <w:r>
        <w:rPr>
          <w:rFonts w:hint="default"/>
          <w:lang w:val="en-US" w:eastAsia="zh-CN"/>
        </w:rPr>
        <w:t>[12]。</w:t>
      </w:r>
      <w:r>
        <w:rPr>
          <w:rFonts w:hint="default"/>
          <w:color w:val="FF0000"/>
          <w:lang w:val="en-US" w:eastAsia="zh-CN"/>
        </w:rPr>
        <w:t>因此，我们也将对比不同网络层类型中任意两个输入输出位置之间的最大路径长度。</w:t>
      </w:r>
    </w:p>
    <w:p w14:paraId="10758DCE">
      <w:pPr>
        <w:rPr>
          <w:rFonts w:hint="default"/>
          <w:lang w:val="en-US" w:eastAsia="zh-CN"/>
        </w:rPr>
      </w:pPr>
      <w:r>
        <w:rPr>
          <w:rFonts w:hint="eastAsia"/>
          <w:lang w:val="en-US" w:eastAsia="zh-CN"/>
        </w:rPr>
        <w:t xml:space="preserve"> </w:t>
      </w:r>
    </w:p>
    <w:p w14:paraId="6C61505C">
      <w:pPr>
        <w:ind w:firstLine="420" w:firstLineChars="0"/>
        <w:rPr>
          <w:rFonts w:hint="default"/>
          <w:lang w:val="en-US" w:eastAsia="zh-CN"/>
        </w:rPr>
      </w:pPr>
      <w:r>
        <w:rPr>
          <w:rFonts w:hint="default"/>
          <w:color w:val="FF0000"/>
          <w:lang w:val="en-US" w:eastAsia="zh-CN"/>
        </w:rPr>
        <w:t>如表1所示，自注意力层以恒定数量的顺序执行操作连接所有位置，而循环层则需要 O(n) 个顺序操作</w:t>
      </w:r>
      <w:r>
        <w:rPr>
          <w:rFonts w:hint="default"/>
          <w:lang w:val="en-US" w:eastAsia="zh-CN"/>
        </w:rPr>
        <w:t>。在计算复杂度方面，当序列长度 n 小于表征维度 d 时，自注意力层比循环层更快，而这正是机器翻译领域前沿模型（如基于词片[38]和字节对[31]表征的模型）处理句子表征时的常见情况。</w:t>
      </w:r>
      <w:r>
        <w:rPr>
          <w:rFonts w:hint="default"/>
          <w:color w:val="FF0000"/>
          <w:lang w:val="en-US" w:eastAsia="zh-CN"/>
        </w:rPr>
        <w:t>为提升超长序列任务的计算性能，可将自注意力限制在以各输出位置为中心、大小为 r 的输入序列邻域内</w:t>
      </w:r>
      <w:r>
        <w:rPr>
          <w:rFonts w:hint="default"/>
          <w:lang w:val="en-US" w:eastAsia="zh-CN"/>
        </w:rPr>
        <w:t>。这将使最大路径长度增至 O(n/r)。我们计划在后续工作中进一步研究这种方法。</w:t>
      </w:r>
      <w:r>
        <w:rPr>
          <w:rFonts w:hint="eastAsia"/>
          <w:lang w:val="en-US" w:eastAsia="zh-CN"/>
        </w:rPr>
        <w:t xml:space="preserve"> </w:t>
      </w:r>
    </w:p>
    <w:p w14:paraId="7B891A31">
      <w:pPr>
        <w:rPr>
          <w:rFonts w:hint="default"/>
          <w:lang w:val="en-US" w:eastAsia="zh-CN"/>
        </w:rPr>
      </w:pPr>
      <w:r>
        <w:rPr>
          <w:rFonts w:hint="eastAsia"/>
          <w:lang w:val="en-US" w:eastAsia="zh-CN"/>
        </w:rPr>
        <w:t>-- 20260127-0836</w:t>
      </w:r>
      <w:bookmarkStart w:id="0" w:name="_GoBack"/>
      <w:bookmarkEnd w:id="0"/>
    </w:p>
    <w:p w14:paraId="4E272669">
      <w:pPr>
        <w:ind w:firstLine="420" w:firstLineChars="0"/>
        <w:rPr>
          <w:rFonts w:hint="default"/>
          <w:lang w:val="en-US" w:eastAsia="zh-CN"/>
        </w:rPr>
      </w:pPr>
      <w:r>
        <w:rPr>
          <w:rFonts w:hint="default"/>
          <w:color w:val="FF0000"/>
          <w:highlight w:val="yellow"/>
          <w:lang w:val="en-US" w:eastAsia="zh-CN"/>
        </w:rPr>
        <w:t>卷积核宽度 k &lt; n 的单个卷积层无法连接所有输入输出位置对。若使用连续卷积核，需要堆叠 O(n/k) 个卷积层才能实现全连接；若使用空洞卷积[18]，则需要 O(logₖ(n)) 层，这都会增加网络中任意两点间的最长路径长度</w:t>
      </w:r>
      <w:r>
        <w:rPr>
          <w:rFonts w:hint="default"/>
          <w:lang w:val="en-US" w:eastAsia="zh-CN"/>
        </w:rPr>
        <w:t>。卷积层通常比循环层计算代价更高，其计算量约为循环层的 k 倍。然而，可分离卷积[6]能显著降低复杂度至 O(k·n·d + n·d²)。即便如此，当 k = n 时，可分离卷积的复杂度仍等同于自注意力层与逐点前馈层的组合——这正是我们模型中采用的方法。</w:t>
      </w:r>
      <w:r>
        <w:rPr>
          <w:rFonts w:hint="eastAsia"/>
          <w:lang w:val="en-US" w:eastAsia="zh-CN"/>
        </w:rPr>
        <w:t xml:space="preserve"> </w:t>
      </w:r>
    </w:p>
    <w:p w14:paraId="695B772E">
      <w:pPr>
        <w:rPr>
          <w:rFonts w:hint="default"/>
          <w:lang w:val="en-US" w:eastAsia="zh-CN"/>
        </w:rPr>
      </w:pPr>
    </w:p>
    <w:p w14:paraId="02E1BF04">
      <w:pPr>
        <w:rPr>
          <w:rFonts w:hint="default"/>
          <w:lang w:val="en-US" w:eastAsia="zh-CN"/>
        </w:rPr>
      </w:pPr>
      <w:r>
        <w:rPr>
          <w:rFonts w:hint="default"/>
          <w:lang w:val="en-US" w:eastAsia="zh-CN"/>
        </w:rPr>
        <w:t>自注意力还有一个额外优势：它能产生更具可解释性的模型。我们在附录中检查了模型的注意力分布并给出示例讨论。研究发现，不仅各个注意力头能清晰学会执行不同任务，许多注意力头还表现出与句子句法语义结构相关的行为特征。</w:t>
      </w:r>
    </w:p>
    <w:p w14:paraId="427430DA">
      <w:pPr>
        <w:rPr>
          <w:rFonts w:hint="default"/>
          <w:lang w:val="en-US" w:eastAsia="zh-CN"/>
        </w:rPr>
      </w:pPr>
    </w:p>
    <w:p w14:paraId="0754B291">
      <w:pPr>
        <w:rPr>
          <w:rFonts w:hint="default"/>
          <w:lang w:val="en-US" w:eastAsia="zh-CN"/>
        </w:rPr>
      </w:pPr>
    </w:p>
    <w:p w14:paraId="44FA642F">
      <w:pPr>
        <w:bidi w:val="0"/>
        <w:ind w:firstLine="420" w:firstLineChars="200"/>
        <w:rPr>
          <w:rFonts w:hint="eastAsia"/>
          <w:lang w:val="en-US" w:eastAsia="zh-CN"/>
        </w:rPr>
      </w:pPr>
    </w:p>
    <w:p w14:paraId="1A488AF3">
      <w:pPr>
        <w:bidi w:val="0"/>
        <w:ind w:firstLine="420" w:firstLineChars="200"/>
        <w:rPr>
          <w:rFonts w:hint="eastAsia"/>
          <w:lang w:val="en-US" w:eastAsia="zh-CN"/>
        </w:rPr>
      </w:pPr>
    </w:p>
    <w:p w14:paraId="02431292">
      <w:pPr>
        <w:bidi w:val="0"/>
        <w:ind w:firstLine="420" w:firstLineChars="200"/>
        <w:rPr>
          <w:rFonts w:hint="eastAsia"/>
          <w:lang w:val="en-US" w:eastAsia="zh-CN"/>
        </w:rPr>
      </w:pPr>
    </w:p>
    <w:p w14:paraId="54C497B8">
      <w:pPr>
        <w:bidi w:val="0"/>
        <w:ind w:firstLine="420" w:firstLineChars="200"/>
        <w:rPr>
          <w:rFonts w:hint="default"/>
          <w:lang w:val="en-US" w:eastAsia="zh-CN"/>
        </w:rPr>
      </w:pPr>
    </w:p>
    <w:p w14:paraId="2DE799F9">
      <w:pPr>
        <w:bidi w:val="0"/>
        <w:ind w:firstLine="420" w:firstLineChars="200"/>
        <w:rPr>
          <w:rFonts w:hint="eastAsia" w:ascii="仿宋" w:hAnsi="仿宋" w:eastAsia="仿宋" w:cs="仿宋"/>
          <w:lang w:val="en-US" w:eastAsia="zh-CN"/>
        </w:rPr>
      </w:pPr>
    </w:p>
    <w:p w14:paraId="7D719D7C">
      <w:pPr>
        <w:bidi w:val="0"/>
        <w:ind w:firstLine="420" w:firstLineChars="200"/>
        <w:rPr>
          <w:rFonts w:hint="eastAsia" w:ascii="仿宋" w:hAnsi="仿宋" w:eastAsia="仿宋" w:cs="仿宋"/>
          <w:lang w:val="en-US" w:eastAsia="zh-CN"/>
        </w:rPr>
      </w:pPr>
    </w:p>
    <w:p w14:paraId="4C7B8258">
      <w:pPr>
        <w:rPr>
          <w:rFonts w:hint="eastAsia" w:ascii="仿宋" w:hAnsi="仿宋" w:eastAsia="仿宋" w:cs="仿宋"/>
          <w:lang w:val="en-US" w:eastAsia="zh-CN"/>
        </w:rPr>
      </w:pPr>
    </w:p>
    <w:p w14:paraId="6760126F">
      <w:pPr>
        <w:rPr>
          <w:rFonts w:hint="eastAsia" w:ascii="仿宋" w:hAnsi="仿宋" w:eastAsia="仿宋" w:cs="仿宋"/>
          <w:lang w:val="en-US" w:eastAsia="zh-CN"/>
        </w:rPr>
      </w:pPr>
    </w:p>
    <w:p w14:paraId="7BB94593">
      <w:pPr>
        <w:rPr>
          <w:rFonts w:hint="eastAsia" w:ascii="仿宋" w:hAnsi="仿宋" w:eastAsia="仿宋" w:cs="仿宋"/>
          <w:lang w:val="en-US" w:eastAsia="zh-CN"/>
        </w:rPr>
      </w:pPr>
    </w:p>
    <w:p w14:paraId="5D7EDA4E">
      <w:pPr>
        <w:rPr>
          <w:rFonts w:hint="eastAsia" w:ascii="仿宋" w:hAnsi="仿宋" w:eastAsia="仿宋" w:cs="仿宋"/>
          <w:lang w:val="en-US" w:eastAsia="zh-CN"/>
        </w:rPr>
      </w:pPr>
    </w:p>
    <w:p w14:paraId="3076B23F">
      <w:pPr>
        <w:rPr>
          <w:rFonts w:hint="eastAsia" w:ascii="仿宋" w:hAnsi="仿宋" w:eastAsia="仿宋" w:cs="仿宋"/>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7E0B12"/>
    <w:multiLevelType w:val="singleLevel"/>
    <w:tmpl w:val="357E0B12"/>
    <w:lvl w:ilvl="0" w:tentative="0">
      <w:start w:val="1"/>
      <w:numFmt w:val="decimalEnclosedCircleChinese"/>
      <w:suff w:val="nothing"/>
      <w:lvlText w:val="%1　"/>
      <w:lvlJc w:val="left"/>
      <w:pPr>
        <w:ind w:left="0" w:firstLine="4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D1F12"/>
    <w:rsid w:val="07370027"/>
    <w:rsid w:val="07715A05"/>
    <w:rsid w:val="0A9F45C3"/>
    <w:rsid w:val="0B7FAE29"/>
    <w:rsid w:val="11E5D4B6"/>
    <w:rsid w:val="124FC303"/>
    <w:rsid w:val="12EE77D0"/>
    <w:rsid w:val="137B4BFA"/>
    <w:rsid w:val="17F4048E"/>
    <w:rsid w:val="17F7E545"/>
    <w:rsid w:val="1A7DC573"/>
    <w:rsid w:val="1ADFE5BA"/>
    <w:rsid w:val="1B21158A"/>
    <w:rsid w:val="1C7FAA95"/>
    <w:rsid w:val="1CF79222"/>
    <w:rsid w:val="1CF7E5F4"/>
    <w:rsid w:val="1DEF0111"/>
    <w:rsid w:val="1F3F73A4"/>
    <w:rsid w:val="1F7D709C"/>
    <w:rsid w:val="1FEFC4B0"/>
    <w:rsid w:val="23FE0F05"/>
    <w:rsid w:val="276DBA4D"/>
    <w:rsid w:val="2B4F49C5"/>
    <w:rsid w:val="2B76878C"/>
    <w:rsid w:val="2D6F70DA"/>
    <w:rsid w:val="2EF660BD"/>
    <w:rsid w:val="2EFF25F5"/>
    <w:rsid w:val="2EFFA984"/>
    <w:rsid w:val="2F3F8BB5"/>
    <w:rsid w:val="2F73771D"/>
    <w:rsid w:val="2F7FD67F"/>
    <w:rsid w:val="2FBFBC50"/>
    <w:rsid w:val="2FDD7D2D"/>
    <w:rsid w:val="2FF87430"/>
    <w:rsid w:val="32F7F0B9"/>
    <w:rsid w:val="33B3A819"/>
    <w:rsid w:val="33F0EC72"/>
    <w:rsid w:val="34FB211A"/>
    <w:rsid w:val="35564487"/>
    <w:rsid w:val="35BE1C3D"/>
    <w:rsid w:val="35EE1133"/>
    <w:rsid w:val="37753EA6"/>
    <w:rsid w:val="37BB6A4A"/>
    <w:rsid w:val="37FE4C44"/>
    <w:rsid w:val="399D7259"/>
    <w:rsid w:val="39E1BE62"/>
    <w:rsid w:val="39ECC9AF"/>
    <w:rsid w:val="39EE8FE5"/>
    <w:rsid w:val="3AAF2976"/>
    <w:rsid w:val="3AE72E27"/>
    <w:rsid w:val="3AFFB56D"/>
    <w:rsid w:val="3B7A5355"/>
    <w:rsid w:val="3BACB382"/>
    <w:rsid w:val="3BFC7F9D"/>
    <w:rsid w:val="3C59CB8F"/>
    <w:rsid w:val="3CAF4D78"/>
    <w:rsid w:val="3CEF4F9A"/>
    <w:rsid w:val="3D6D0D0E"/>
    <w:rsid w:val="3D7EA62E"/>
    <w:rsid w:val="3DAB9E04"/>
    <w:rsid w:val="3DDE159D"/>
    <w:rsid w:val="3DE2F11B"/>
    <w:rsid w:val="3DF2D902"/>
    <w:rsid w:val="3DFF4940"/>
    <w:rsid w:val="3E5B69F8"/>
    <w:rsid w:val="3E7FA083"/>
    <w:rsid w:val="3E976031"/>
    <w:rsid w:val="3ED3A7DB"/>
    <w:rsid w:val="3ED659D3"/>
    <w:rsid w:val="3EDFA3CA"/>
    <w:rsid w:val="3EF655A2"/>
    <w:rsid w:val="3F2FCF5A"/>
    <w:rsid w:val="3F3FF039"/>
    <w:rsid w:val="3F7D74FB"/>
    <w:rsid w:val="3F7F1548"/>
    <w:rsid w:val="3F7FCD38"/>
    <w:rsid w:val="3F99D0A1"/>
    <w:rsid w:val="3FAF74B5"/>
    <w:rsid w:val="3FBEBE08"/>
    <w:rsid w:val="3FDF3229"/>
    <w:rsid w:val="3FE520B0"/>
    <w:rsid w:val="3FF76562"/>
    <w:rsid w:val="3FFB8132"/>
    <w:rsid w:val="3FFE3CE2"/>
    <w:rsid w:val="3FFE81F9"/>
    <w:rsid w:val="41FC1D5B"/>
    <w:rsid w:val="433FF932"/>
    <w:rsid w:val="4345BF05"/>
    <w:rsid w:val="467BC38C"/>
    <w:rsid w:val="470FD677"/>
    <w:rsid w:val="47F8C027"/>
    <w:rsid w:val="47FEEEFD"/>
    <w:rsid w:val="49FFC844"/>
    <w:rsid w:val="4AFB22DE"/>
    <w:rsid w:val="4BFBFEDB"/>
    <w:rsid w:val="4C31B081"/>
    <w:rsid w:val="4DFF1CAA"/>
    <w:rsid w:val="4E29F49B"/>
    <w:rsid w:val="4E9BC975"/>
    <w:rsid w:val="4EFE2827"/>
    <w:rsid w:val="4F77244D"/>
    <w:rsid w:val="4FAEDB15"/>
    <w:rsid w:val="4FBF0431"/>
    <w:rsid w:val="4FDDD2A1"/>
    <w:rsid w:val="4FE7346A"/>
    <w:rsid w:val="4FEFB67F"/>
    <w:rsid w:val="56D961D9"/>
    <w:rsid w:val="577A8093"/>
    <w:rsid w:val="577B61A7"/>
    <w:rsid w:val="57EFBBDB"/>
    <w:rsid w:val="59FB2B8C"/>
    <w:rsid w:val="5AFE24D8"/>
    <w:rsid w:val="5BC3DB0C"/>
    <w:rsid w:val="5BEF2F8B"/>
    <w:rsid w:val="5BF72589"/>
    <w:rsid w:val="5BF74B7A"/>
    <w:rsid w:val="5BF74BF7"/>
    <w:rsid w:val="5BFD2F7E"/>
    <w:rsid w:val="5BFD8573"/>
    <w:rsid w:val="5C7D44E9"/>
    <w:rsid w:val="5C7F4B3C"/>
    <w:rsid w:val="5CE53486"/>
    <w:rsid w:val="5DAE400E"/>
    <w:rsid w:val="5DB572E6"/>
    <w:rsid w:val="5DB5AA5A"/>
    <w:rsid w:val="5DBD36D9"/>
    <w:rsid w:val="5DDD7976"/>
    <w:rsid w:val="5DFF7BAC"/>
    <w:rsid w:val="5E7E7675"/>
    <w:rsid w:val="5EAFD86A"/>
    <w:rsid w:val="5F77D668"/>
    <w:rsid w:val="5F7E7088"/>
    <w:rsid w:val="5FB70770"/>
    <w:rsid w:val="5FBFFE4B"/>
    <w:rsid w:val="5FCFDBC3"/>
    <w:rsid w:val="5FDDC7B5"/>
    <w:rsid w:val="5FE8B1C2"/>
    <w:rsid w:val="5FFE768C"/>
    <w:rsid w:val="62BF64CE"/>
    <w:rsid w:val="66F690E7"/>
    <w:rsid w:val="66F71C7B"/>
    <w:rsid w:val="673AA202"/>
    <w:rsid w:val="673DBEA5"/>
    <w:rsid w:val="677FF8A2"/>
    <w:rsid w:val="67FFB6F8"/>
    <w:rsid w:val="69D16299"/>
    <w:rsid w:val="69FB9820"/>
    <w:rsid w:val="6A5F1DE0"/>
    <w:rsid w:val="6A73241D"/>
    <w:rsid w:val="6AA7122D"/>
    <w:rsid w:val="6AFFDEE4"/>
    <w:rsid w:val="6B7DD4DA"/>
    <w:rsid w:val="6BBE7CA5"/>
    <w:rsid w:val="6BDB28BA"/>
    <w:rsid w:val="6BFB2DA4"/>
    <w:rsid w:val="6D3F9CE4"/>
    <w:rsid w:val="6DAF0202"/>
    <w:rsid w:val="6DE7FC7F"/>
    <w:rsid w:val="6DEA6D26"/>
    <w:rsid w:val="6DF709D7"/>
    <w:rsid w:val="6DFFCBC2"/>
    <w:rsid w:val="6EFCDF25"/>
    <w:rsid w:val="6EFD3B1B"/>
    <w:rsid w:val="6F7F98F9"/>
    <w:rsid w:val="6FBDCE49"/>
    <w:rsid w:val="6FC790FA"/>
    <w:rsid w:val="6FD6A998"/>
    <w:rsid w:val="6FE77DD5"/>
    <w:rsid w:val="6FED4F74"/>
    <w:rsid w:val="6FFF09F2"/>
    <w:rsid w:val="71BF3000"/>
    <w:rsid w:val="72EFA795"/>
    <w:rsid w:val="72FB20F6"/>
    <w:rsid w:val="738654A6"/>
    <w:rsid w:val="73A87DCE"/>
    <w:rsid w:val="73B87B08"/>
    <w:rsid w:val="73B90919"/>
    <w:rsid w:val="73FD767C"/>
    <w:rsid w:val="73FFC58B"/>
    <w:rsid w:val="74938AC4"/>
    <w:rsid w:val="74A75846"/>
    <w:rsid w:val="74F38D61"/>
    <w:rsid w:val="75E3B02D"/>
    <w:rsid w:val="765C02D1"/>
    <w:rsid w:val="76A970F9"/>
    <w:rsid w:val="76DD209D"/>
    <w:rsid w:val="76E30855"/>
    <w:rsid w:val="76EBEA6C"/>
    <w:rsid w:val="76FBBE05"/>
    <w:rsid w:val="775B5E58"/>
    <w:rsid w:val="775E8AD2"/>
    <w:rsid w:val="777F5915"/>
    <w:rsid w:val="779E8FF8"/>
    <w:rsid w:val="77C7F592"/>
    <w:rsid w:val="77DF064B"/>
    <w:rsid w:val="77F3FEA9"/>
    <w:rsid w:val="77F4D400"/>
    <w:rsid w:val="77F507E1"/>
    <w:rsid w:val="77F81A15"/>
    <w:rsid w:val="77FD1F12"/>
    <w:rsid w:val="77FD4BB3"/>
    <w:rsid w:val="77FDA6AF"/>
    <w:rsid w:val="796F8BCF"/>
    <w:rsid w:val="79DABBFB"/>
    <w:rsid w:val="79FFAAD4"/>
    <w:rsid w:val="79FFB733"/>
    <w:rsid w:val="7A9796E0"/>
    <w:rsid w:val="7ABDD6F4"/>
    <w:rsid w:val="7B5FCF6D"/>
    <w:rsid w:val="7B6EF489"/>
    <w:rsid w:val="7B7FBA32"/>
    <w:rsid w:val="7B9FEE90"/>
    <w:rsid w:val="7BCD64F5"/>
    <w:rsid w:val="7BDD444C"/>
    <w:rsid w:val="7BEB3767"/>
    <w:rsid w:val="7BF39448"/>
    <w:rsid w:val="7BF7E4E3"/>
    <w:rsid w:val="7BF9A512"/>
    <w:rsid w:val="7BFBC41C"/>
    <w:rsid w:val="7BFD9F18"/>
    <w:rsid w:val="7BFE1DB3"/>
    <w:rsid w:val="7BFE77A1"/>
    <w:rsid w:val="7BFF3694"/>
    <w:rsid w:val="7BFF7BDA"/>
    <w:rsid w:val="7BFF9702"/>
    <w:rsid w:val="7BFF9A3D"/>
    <w:rsid w:val="7BFFD654"/>
    <w:rsid w:val="7BFFF14F"/>
    <w:rsid w:val="7C3F5BA7"/>
    <w:rsid w:val="7C6BF0DD"/>
    <w:rsid w:val="7CDEE2E6"/>
    <w:rsid w:val="7CEFBAD6"/>
    <w:rsid w:val="7D594464"/>
    <w:rsid w:val="7D6F5368"/>
    <w:rsid w:val="7D77DD81"/>
    <w:rsid w:val="7D8B1069"/>
    <w:rsid w:val="7DCFE4D1"/>
    <w:rsid w:val="7DD793AD"/>
    <w:rsid w:val="7DEE5263"/>
    <w:rsid w:val="7DF92287"/>
    <w:rsid w:val="7DFD2C77"/>
    <w:rsid w:val="7DFD4358"/>
    <w:rsid w:val="7DFE47A7"/>
    <w:rsid w:val="7DFF88BC"/>
    <w:rsid w:val="7DFFAB88"/>
    <w:rsid w:val="7DFFD8DC"/>
    <w:rsid w:val="7E6BD437"/>
    <w:rsid w:val="7E769FA9"/>
    <w:rsid w:val="7EBF5EDA"/>
    <w:rsid w:val="7ECB722A"/>
    <w:rsid w:val="7ED7C78A"/>
    <w:rsid w:val="7ED9616C"/>
    <w:rsid w:val="7EDC043C"/>
    <w:rsid w:val="7EDF9461"/>
    <w:rsid w:val="7EE17A17"/>
    <w:rsid w:val="7EE783A3"/>
    <w:rsid w:val="7EFB4F48"/>
    <w:rsid w:val="7EFDBD78"/>
    <w:rsid w:val="7EFE16E9"/>
    <w:rsid w:val="7EFEC905"/>
    <w:rsid w:val="7F1BAD96"/>
    <w:rsid w:val="7F26A299"/>
    <w:rsid w:val="7F2F980C"/>
    <w:rsid w:val="7F324483"/>
    <w:rsid w:val="7F467131"/>
    <w:rsid w:val="7F735F3C"/>
    <w:rsid w:val="7F794C30"/>
    <w:rsid w:val="7F7F044D"/>
    <w:rsid w:val="7F7FE930"/>
    <w:rsid w:val="7F9EACD5"/>
    <w:rsid w:val="7F9FD89A"/>
    <w:rsid w:val="7FAEB4DC"/>
    <w:rsid w:val="7FB1FB18"/>
    <w:rsid w:val="7FBABEE3"/>
    <w:rsid w:val="7FBD6A5E"/>
    <w:rsid w:val="7FBF1EB6"/>
    <w:rsid w:val="7FBFE492"/>
    <w:rsid w:val="7FCEBB38"/>
    <w:rsid w:val="7FCF0C7D"/>
    <w:rsid w:val="7FDDF8F4"/>
    <w:rsid w:val="7FDF32CA"/>
    <w:rsid w:val="7FE830CA"/>
    <w:rsid w:val="7FEB2C4F"/>
    <w:rsid w:val="7FEF47B7"/>
    <w:rsid w:val="7FEF95CA"/>
    <w:rsid w:val="7FF30B3B"/>
    <w:rsid w:val="7FF49B8C"/>
    <w:rsid w:val="7FF529E8"/>
    <w:rsid w:val="7FF530E5"/>
    <w:rsid w:val="7FF5BAD5"/>
    <w:rsid w:val="7FF7E3E3"/>
    <w:rsid w:val="7FFA4639"/>
    <w:rsid w:val="7FFB0441"/>
    <w:rsid w:val="7FFC0226"/>
    <w:rsid w:val="7FFD49FC"/>
    <w:rsid w:val="7FFE89D2"/>
    <w:rsid w:val="7FFF2044"/>
    <w:rsid w:val="7FFF8E31"/>
    <w:rsid w:val="7FFFF8A2"/>
    <w:rsid w:val="812FE5D3"/>
    <w:rsid w:val="89BB345C"/>
    <w:rsid w:val="8F673F15"/>
    <w:rsid w:val="8FF10DC3"/>
    <w:rsid w:val="93BE8836"/>
    <w:rsid w:val="93FD6952"/>
    <w:rsid w:val="971E0C3D"/>
    <w:rsid w:val="977B007B"/>
    <w:rsid w:val="97DE0F74"/>
    <w:rsid w:val="97EE0D98"/>
    <w:rsid w:val="983F3FC1"/>
    <w:rsid w:val="9B7318F1"/>
    <w:rsid w:val="9CEA8725"/>
    <w:rsid w:val="9E7ED088"/>
    <w:rsid w:val="9F1FDCF6"/>
    <w:rsid w:val="9F75358C"/>
    <w:rsid w:val="9F7DF3F6"/>
    <w:rsid w:val="9FBB42C1"/>
    <w:rsid w:val="A3AF566F"/>
    <w:rsid w:val="A679EF54"/>
    <w:rsid w:val="A6DFADBE"/>
    <w:rsid w:val="A7020234"/>
    <w:rsid w:val="AAF332A0"/>
    <w:rsid w:val="AD3E09C2"/>
    <w:rsid w:val="AFF71E8C"/>
    <w:rsid w:val="B0AFC879"/>
    <w:rsid w:val="B1764499"/>
    <w:rsid w:val="B1F95E82"/>
    <w:rsid w:val="B2EFC187"/>
    <w:rsid w:val="B4F7D607"/>
    <w:rsid w:val="B6F9ADAA"/>
    <w:rsid w:val="B71F3F8A"/>
    <w:rsid w:val="B76EFB17"/>
    <w:rsid w:val="B7BB7C83"/>
    <w:rsid w:val="B7F7EFDD"/>
    <w:rsid w:val="B7FFADCD"/>
    <w:rsid w:val="B9DF0ED4"/>
    <w:rsid w:val="B9FFD036"/>
    <w:rsid w:val="BB276600"/>
    <w:rsid w:val="BBBF098B"/>
    <w:rsid w:val="BBDFD5CD"/>
    <w:rsid w:val="BBF8F9E3"/>
    <w:rsid w:val="BBFB411C"/>
    <w:rsid w:val="BBFCA0EB"/>
    <w:rsid w:val="BBFFA9D4"/>
    <w:rsid w:val="BCD660A3"/>
    <w:rsid w:val="BCFA9B50"/>
    <w:rsid w:val="BDAF8F30"/>
    <w:rsid w:val="BE5F1BFA"/>
    <w:rsid w:val="BE7A0247"/>
    <w:rsid w:val="BE9B1928"/>
    <w:rsid w:val="BEEE0CAB"/>
    <w:rsid w:val="BEEF8402"/>
    <w:rsid w:val="BEFEEA98"/>
    <w:rsid w:val="BEFFA884"/>
    <w:rsid w:val="BF3EEB5E"/>
    <w:rsid w:val="BF3F5CD9"/>
    <w:rsid w:val="BF4E6E65"/>
    <w:rsid w:val="BF6721E6"/>
    <w:rsid w:val="BF7B0844"/>
    <w:rsid w:val="BF7F8AF8"/>
    <w:rsid w:val="BF8F2DA9"/>
    <w:rsid w:val="BF98BB54"/>
    <w:rsid w:val="BFAF9970"/>
    <w:rsid w:val="BFB5F473"/>
    <w:rsid w:val="BFCD7E95"/>
    <w:rsid w:val="BFD5F83A"/>
    <w:rsid w:val="BFDDC8A0"/>
    <w:rsid w:val="BFDFBB39"/>
    <w:rsid w:val="BFE5722C"/>
    <w:rsid w:val="BFEF2B0E"/>
    <w:rsid w:val="BFF41BCB"/>
    <w:rsid w:val="BFF4B1D7"/>
    <w:rsid w:val="BFF798B5"/>
    <w:rsid w:val="BFFE7F87"/>
    <w:rsid w:val="BFFF309D"/>
    <w:rsid w:val="BFFF33AD"/>
    <w:rsid w:val="BFFF3589"/>
    <w:rsid w:val="BFFF8D31"/>
    <w:rsid w:val="C5CA1B3F"/>
    <w:rsid w:val="C85D72EE"/>
    <w:rsid w:val="C9CFAFA6"/>
    <w:rsid w:val="CA9A38E7"/>
    <w:rsid w:val="CCF79436"/>
    <w:rsid w:val="CD3F96C9"/>
    <w:rsid w:val="CDBC40AF"/>
    <w:rsid w:val="CF6E6F82"/>
    <w:rsid w:val="CFFFAE99"/>
    <w:rsid w:val="D1FF6B98"/>
    <w:rsid w:val="D2E6B5AD"/>
    <w:rsid w:val="D33FB88B"/>
    <w:rsid w:val="D3D7F551"/>
    <w:rsid w:val="D54F5C35"/>
    <w:rsid w:val="D6BB70E5"/>
    <w:rsid w:val="D73C178A"/>
    <w:rsid w:val="D75A16A5"/>
    <w:rsid w:val="D77F6894"/>
    <w:rsid w:val="D7DE30E4"/>
    <w:rsid w:val="D7E41B04"/>
    <w:rsid w:val="D7FDB1C0"/>
    <w:rsid w:val="D7FECC2D"/>
    <w:rsid w:val="D98F9BBC"/>
    <w:rsid w:val="D9CD9E8B"/>
    <w:rsid w:val="D9EF562D"/>
    <w:rsid w:val="D9F75588"/>
    <w:rsid w:val="DAFB3895"/>
    <w:rsid w:val="DD4BEF7B"/>
    <w:rsid w:val="DDCBFD15"/>
    <w:rsid w:val="DDE3DB32"/>
    <w:rsid w:val="DDEFA327"/>
    <w:rsid w:val="DDFFE2DF"/>
    <w:rsid w:val="DE6F9639"/>
    <w:rsid w:val="DE7F8AC6"/>
    <w:rsid w:val="DEB9B438"/>
    <w:rsid w:val="DEDF148B"/>
    <w:rsid w:val="DEF4ECF9"/>
    <w:rsid w:val="DEF7258F"/>
    <w:rsid w:val="DEFB090E"/>
    <w:rsid w:val="DEFE1D77"/>
    <w:rsid w:val="DF7E1FBC"/>
    <w:rsid w:val="DF7FDD93"/>
    <w:rsid w:val="DFA6AFE4"/>
    <w:rsid w:val="DFBED624"/>
    <w:rsid w:val="DFC79BA1"/>
    <w:rsid w:val="DFCE823E"/>
    <w:rsid w:val="DFCEE25B"/>
    <w:rsid w:val="DFD84D40"/>
    <w:rsid w:val="DFDE7D7C"/>
    <w:rsid w:val="DFDFD1C7"/>
    <w:rsid w:val="DFEFCC45"/>
    <w:rsid w:val="DFF41204"/>
    <w:rsid w:val="DFF79680"/>
    <w:rsid w:val="DFFED59B"/>
    <w:rsid w:val="DFFF1095"/>
    <w:rsid w:val="DFFF190A"/>
    <w:rsid w:val="E12D452E"/>
    <w:rsid w:val="E17FC725"/>
    <w:rsid w:val="E34DD898"/>
    <w:rsid w:val="E4BF4B78"/>
    <w:rsid w:val="E53D4447"/>
    <w:rsid w:val="E75FEE19"/>
    <w:rsid w:val="E7EFA29C"/>
    <w:rsid w:val="E7FF32A4"/>
    <w:rsid w:val="E7FFAB1F"/>
    <w:rsid w:val="EB378E07"/>
    <w:rsid w:val="EB6DFA12"/>
    <w:rsid w:val="EB7CEFF1"/>
    <w:rsid w:val="EBDEAAC6"/>
    <w:rsid w:val="EBFD56CD"/>
    <w:rsid w:val="EDBAD1EA"/>
    <w:rsid w:val="EDCA4E2B"/>
    <w:rsid w:val="EDCB0EC8"/>
    <w:rsid w:val="EDDF676F"/>
    <w:rsid w:val="EDFFAB7D"/>
    <w:rsid w:val="EE6FFA8B"/>
    <w:rsid w:val="EE7D17CD"/>
    <w:rsid w:val="EEF722DC"/>
    <w:rsid w:val="EEF7E762"/>
    <w:rsid w:val="EF012DAC"/>
    <w:rsid w:val="EF477E9E"/>
    <w:rsid w:val="EF4EE6FB"/>
    <w:rsid w:val="EF6B8716"/>
    <w:rsid w:val="EFA5289E"/>
    <w:rsid w:val="EFABD199"/>
    <w:rsid w:val="EFCFBBA7"/>
    <w:rsid w:val="EFDF2182"/>
    <w:rsid w:val="EFE1F88C"/>
    <w:rsid w:val="EFF33BE7"/>
    <w:rsid w:val="EFF51698"/>
    <w:rsid w:val="EFFBD186"/>
    <w:rsid w:val="F274B3E1"/>
    <w:rsid w:val="F2DB48AD"/>
    <w:rsid w:val="F2FDFB49"/>
    <w:rsid w:val="F37F2E86"/>
    <w:rsid w:val="F37F3FC2"/>
    <w:rsid w:val="F3BC75FE"/>
    <w:rsid w:val="F3EFF320"/>
    <w:rsid w:val="F3FA94BB"/>
    <w:rsid w:val="F46F6AFB"/>
    <w:rsid w:val="F4DBA3BD"/>
    <w:rsid w:val="F4FFABD3"/>
    <w:rsid w:val="F55B6E8D"/>
    <w:rsid w:val="F57F07E6"/>
    <w:rsid w:val="F6DFD9E7"/>
    <w:rsid w:val="F6FF1673"/>
    <w:rsid w:val="F6FF1E9C"/>
    <w:rsid w:val="F71F84CE"/>
    <w:rsid w:val="F71FCD75"/>
    <w:rsid w:val="F77F6BE9"/>
    <w:rsid w:val="F77FE9E2"/>
    <w:rsid w:val="F79BC1BE"/>
    <w:rsid w:val="F7DE3FC4"/>
    <w:rsid w:val="F7F6C2BF"/>
    <w:rsid w:val="F7F77B5B"/>
    <w:rsid w:val="F7FB5BB7"/>
    <w:rsid w:val="F7FDFE14"/>
    <w:rsid w:val="F7FF6ACD"/>
    <w:rsid w:val="F96F39F4"/>
    <w:rsid w:val="F9B77D34"/>
    <w:rsid w:val="F9EE3340"/>
    <w:rsid w:val="F9F4C89D"/>
    <w:rsid w:val="F9FBAAD1"/>
    <w:rsid w:val="F9FFFA39"/>
    <w:rsid w:val="FA978B9F"/>
    <w:rsid w:val="FAFDFE1A"/>
    <w:rsid w:val="FB5C87AD"/>
    <w:rsid w:val="FB5D231D"/>
    <w:rsid w:val="FB77E2E7"/>
    <w:rsid w:val="FB7B0F7B"/>
    <w:rsid w:val="FB9D2675"/>
    <w:rsid w:val="FB9F6D1D"/>
    <w:rsid w:val="FBBB3EDC"/>
    <w:rsid w:val="FBBBA39A"/>
    <w:rsid w:val="FBBF3A56"/>
    <w:rsid w:val="FBDE52D7"/>
    <w:rsid w:val="FBDF0623"/>
    <w:rsid w:val="FBFA15DE"/>
    <w:rsid w:val="FBFC4772"/>
    <w:rsid w:val="FBFF0D1C"/>
    <w:rsid w:val="FBFFCAC5"/>
    <w:rsid w:val="FC3B4BFD"/>
    <w:rsid w:val="FC3F9EB6"/>
    <w:rsid w:val="FCFB25E5"/>
    <w:rsid w:val="FD23F34E"/>
    <w:rsid w:val="FD6A13DA"/>
    <w:rsid w:val="FD7FBD0E"/>
    <w:rsid w:val="FD9F581C"/>
    <w:rsid w:val="FD9F97C4"/>
    <w:rsid w:val="FDB751B7"/>
    <w:rsid w:val="FDDCB9B0"/>
    <w:rsid w:val="FDDFAF2E"/>
    <w:rsid w:val="FDE57374"/>
    <w:rsid w:val="FDF15171"/>
    <w:rsid w:val="FDF534F0"/>
    <w:rsid w:val="FDF91960"/>
    <w:rsid w:val="FDFAF74F"/>
    <w:rsid w:val="FDFDF29A"/>
    <w:rsid w:val="FDFF8788"/>
    <w:rsid w:val="FE72A6F8"/>
    <w:rsid w:val="FEB7295A"/>
    <w:rsid w:val="FEB7C7DB"/>
    <w:rsid w:val="FEBAE89A"/>
    <w:rsid w:val="FEBF4CF5"/>
    <w:rsid w:val="FEBFE4B0"/>
    <w:rsid w:val="FEEF738E"/>
    <w:rsid w:val="FEEF74E7"/>
    <w:rsid w:val="FEF782F6"/>
    <w:rsid w:val="FEF9F164"/>
    <w:rsid w:val="FEFF4C94"/>
    <w:rsid w:val="FEFF7B14"/>
    <w:rsid w:val="FEFFB9B8"/>
    <w:rsid w:val="FEFFBBE9"/>
    <w:rsid w:val="FF1F30B8"/>
    <w:rsid w:val="FF2F3DD2"/>
    <w:rsid w:val="FF335E2C"/>
    <w:rsid w:val="FF35D41E"/>
    <w:rsid w:val="FF53E414"/>
    <w:rsid w:val="FF5E8BB4"/>
    <w:rsid w:val="FF6FB295"/>
    <w:rsid w:val="FF770F88"/>
    <w:rsid w:val="FF7A90DD"/>
    <w:rsid w:val="FF7F760F"/>
    <w:rsid w:val="FF7F864B"/>
    <w:rsid w:val="FF832D63"/>
    <w:rsid w:val="FF9D99E9"/>
    <w:rsid w:val="FF9E82D6"/>
    <w:rsid w:val="FF9F5CC1"/>
    <w:rsid w:val="FF9F6FE2"/>
    <w:rsid w:val="FF9FBE6B"/>
    <w:rsid w:val="FFAC6676"/>
    <w:rsid w:val="FFB11FFC"/>
    <w:rsid w:val="FFBFD919"/>
    <w:rsid w:val="FFBFDDD8"/>
    <w:rsid w:val="FFC9249C"/>
    <w:rsid w:val="FFCD4016"/>
    <w:rsid w:val="FFCF153F"/>
    <w:rsid w:val="FFD60683"/>
    <w:rsid w:val="FFDB4DCD"/>
    <w:rsid w:val="FFDDCA0A"/>
    <w:rsid w:val="FFDE8328"/>
    <w:rsid w:val="FFE68E81"/>
    <w:rsid w:val="FFE7AE5B"/>
    <w:rsid w:val="FFEF1057"/>
    <w:rsid w:val="FFEF30D9"/>
    <w:rsid w:val="FFEF4C0C"/>
    <w:rsid w:val="FFF5418E"/>
    <w:rsid w:val="FFF58AC6"/>
    <w:rsid w:val="FFF6D7EC"/>
    <w:rsid w:val="FFF76AC6"/>
    <w:rsid w:val="FFF79D0D"/>
    <w:rsid w:val="FFF8E882"/>
    <w:rsid w:val="FFF91759"/>
    <w:rsid w:val="FFF95644"/>
    <w:rsid w:val="FFF97E8F"/>
    <w:rsid w:val="FFFD570A"/>
    <w:rsid w:val="FFFE2410"/>
    <w:rsid w:val="FFFE5EBD"/>
    <w:rsid w:val="FFFE9B07"/>
    <w:rsid w:val="FFFF6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annotation text"/>
    <w:basedOn w:val="1"/>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2026-01-23T22:52:00Z</dcterms:created>
  <dc:creator>唐荣</dc:creator>
  <cp:lastModifiedBy>唐荣</cp:lastModifiedBy>
  <dcterms:modified xsi:type="dcterms:W3CDTF">2026-01-27T08:36:09Z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9094FDB8F24AD678D8587169E26C09F6_43</vt:lpwstr>
  </property>
</Properties>
</file>