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Kicker"/>
        <w:jc w:val="center"/>
      </w:pPr>
      <w:r>
        <w:t>UGTS APPLICATION / PROOF CAMPAIGN</w:t>
      </w:r>
    </w:p>
    <w:p>
      <w:pPr>
        <w:spacing w:after="60"/>
        <w:jc w:val="center"/>
      </w:pPr>
      <w:r>
        <w:drawing>
          <wp:inline xmlns:a="http://schemas.openxmlformats.org/drawingml/2006/main" xmlns:pic="http://schemas.openxmlformats.org/drawingml/2006/picture">
            <wp:extent cx="6217920" cy="3582679"/>
            <wp:docPr id="1" name="Picture 1" descr="Architecture of the UGTS Chess 2.0 proof campaign and RTX execution profile" title="cover_architecture.png"/>
            <wp:cNvGraphicFramePr>
              <a:graphicFrameLocks noChangeAspect="1"/>
            </wp:cNvGraphicFramePr>
            <a:graphic>
              <a:graphicData uri="http://schemas.openxmlformats.org/drawingml/2006/picture">
                <pic:pic>
                  <pic:nvPicPr>
                    <pic:cNvPr id="0" name="cover_architecture.png"/>
                    <pic:cNvPicPr/>
                  </pic:nvPicPr>
                  <pic:blipFill>
                    <a:blip r:embed="rId11"/>
                    <a:stretch>
                      <a:fillRect/>
                    </a:stretch>
                  </pic:blipFill>
                  <pic:spPr>
                    <a:xfrm>
                      <a:off x="0" y="0"/>
                      <a:ext cx="6217920" cy="3582679"/>
                    </a:xfrm>
                    <a:prstGeom prst="rect"/>
                  </pic:spPr>
                </pic:pic>
              </a:graphicData>
            </a:graphic>
          </wp:inline>
        </w:drawing>
      </w:r>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2232"/>
            <w:shd w:fill="0B1736"/>
            <w:tcMar>
              <w:top w:w="55" w:type="dxa"/>
              <w:start w:w="65" w:type="dxa"/>
              <w:bottom w:w="55" w:type="dxa"/>
              <w:end w:w="65" w:type="dxa"/>
            </w:tcMar>
          </w:tcPr>
          <w:p>
            <w:r>
              <w:rPr>
                <w:b/>
                <w:color w:val="FFFFFF"/>
                <w:sz w:val="16"/>
              </w:rPr>
              <w:t>Release field</w:t>
            </w:r>
          </w:p>
        </w:tc>
        <w:tc>
          <w:tcPr>
            <w:tcW w:type="dxa" w:w="7272"/>
            <w:shd w:fill="0B1736"/>
            <w:tcMar>
              <w:top w:w="55" w:type="dxa"/>
              <w:start w:w="65" w:type="dxa"/>
              <w:bottom w:w="55" w:type="dxa"/>
              <w:end w:w="65" w:type="dxa"/>
            </w:tcMar>
          </w:tcPr>
          <w:p>
            <w:r>
              <w:rPr>
                <w:b/>
                <w:color w:val="FFFFFF"/>
                <w:sz w:val="16"/>
              </w:rPr>
              <w:t>Value</w:t>
            </w:r>
          </w:p>
        </w:tc>
      </w:tr>
      <w:tr>
        <w:trPr>
          <w:cantSplit/>
        </w:trPr>
        <w:tc>
          <w:tcPr>
            <w:tcW w:type="dxa" w:w="223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Canonical identity</w:t>
            </w:r>
          </w:p>
        </w:tc>
        <w:tc>
          <w:tcPr>
            <w:tcW w:type="dxa" w:w="727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ugts.application.chess-proof@2.0.0</w:t>
            </w:r>
          </w:p>
        </w:tc>
      </w:tr>
      <w:tr>
        <w:trPr>
          <w:cantSplit/>
        </w:trPr>
        <w:tc>
          <w:tcPr>
            <w:tcW w:type="dxa" w:w="223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Release</w:t>
            </w:r>
          </w:p>
        </w:tc>
        <w:tc>
          <w:tcPr>
            <w:tcW w:type="dxa" w:w="727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UGTS Chess Game-Theoretic Solver 2.0</w:t>
            </w:r>
          </w:p>
        </w:tc>
      </w:tr>
      <w:tr>
        <w:trPr>
          <w:cantSplit/>
        </w:trPr>
        <w:tc>
          <w:tcPr>
            <w:tcW w:type="dxa" w:w="223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Target</w:t>
            </w:r>
          </w:p>
        </w:tc>
        <w:tc>
          <w:tcPr>
            <w:tcW w:type="dxa" w:w="727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NVIDIA GeForce RTX 5070 Ti Laptop GPU, nominal 12 GB GDDR7</w:t>
            </w:r>
          </w:p>
        </w:tc>
      </w:tr>
      <w:tr>
        <w:trPr>
          <w:cantSplit/>
        </w:trPr>
        <w:tc>
          <w:tcPr>
            <w:tcW w:type="dxa" w:w="223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Captured root value</w:t>
            </w:r>
          </w:p>
        </w:tc>
        <w:tc>
          <w:tcPr>
            <w:tcW w:type="dxa" w:w="727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UNKNOWN</w:t>
            </w:r>
          </w:p>
        </w:tc>
      </w:tr>
      <w:tr>
        <w:trPr>
          <w:cantSplit/>
        </w:trPr>
        <w:tc>
          <w:tcPr>
            <w:tcW w:type="dxa" w:w="223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Document date</w:t>
            </w:r>
          </w:p>
        </w:tc>
        <w:tc>
          <w:tcPr>
            <w:tcW w:type="dxa" w:w="727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29 August 2026</w:t>
            </w:r>
          </w:p>
        </w:tc>
      </w:tr>
      <w:tr>
        <w:trPr>
          <w:cantSplit/>
        </w:trPr>
        <w:tc>
          <w:tcPr>
            <w:tcW w:type="dxa" w:w="223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Status</w:t>
            </w:r>
          </w:p>
        </w:tc>
        <w:tc>
          <w:tcPr>
            <w:tcW w:type="dxa" w:w="727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Executable host-validated foundation; CUDA laptop build and long campaign delegated to Codex/device</w:t>
            </w:r>
          </w:p>
        </w:tc>
      </w:tr>
    </w:tbl>
    <w:tbl>
      <w:tblPr>
        <w:tblW w:type="auto" w:w="0"/>
        <w:jc w:val="center"/>
        <w:tblLayout w:type="fixed"/>
        <w:tblLook w:firstColumn="1" w:firstRow="1" w:lastColumn="0" w:lastRow="0" w:noHBand="0" w:noVBand="1" w:val="04A0"/>
      </w:tblPr>
      <w:tblGrid>
        <w:gridCol w:w="9978"/>
      </w:tblGrid>
      <w:tr>
        <w:trPr>
          <w:cantSplit/>
          <w:tblHeader/>
        </w:trPr>
        <w:tc>
          <w:tcPr>
            <w:tcW w:type="dxa" w:w="9720"/>
            <w:shd w:fill="FFF4F2"/>
            <w:tcBorders>
              <w:top w:val="single" w:sz="10" w:color="C94C4C"/>
              <w:left w:val="single" w:sz="18" w:color="C94C4C"/>
              <w:bottom w:val="single" w:sz="10" w:color="C94C4C"/>
              <w:right w:val="single" w:sz="10" w:color="C94C4C"/>
            </w:tcBorders>
            <w:tcMar>
              <w:top w:w="90" w:type="dxa"/>
              <w:start w:w="125" w:type="dxa"/>
              <w:bottom w:w="90" w:type="dxa"/>
              <w:end w:w="125" w:type="dxa"/>
            </w:tcMar>
          </w:tcPr>
          <w:p>
            <w:pPr>
              <w:spacing w:after="40"/>
            </w:pPr>
            <w:r>
              <w:rPr>
                <w:b/>
                <w:color w:val="C94C4C"/>
                <w:sz w:val="18"/>
              </w:rPr>
              <w:t>EVIDENCE BOUNDARY</w:t>
            </w:r>
          </w:p>
          <w:p>
            <w:pPr>
              <w:spacing w:after="0"/>
            </w:pPr>
            <w:r>
              <w:t>This release attempts a proof-oriented solution of classical chess. It does not claim that the standard initial position is weakly, strongly or ultra-weakly solved. GPU kernels propose work; independently checked certificates decide truth.</w:t>
            </w:r>
          </w:p>
        </w:tc>
      </w:tr>
    </w:tbl>
    <w:p>
      <w:r>
        <w:br w:type="page"/>
      </w:r>
    </w:p>
    <w:p>
      <w:pPr>
        <w:pStyle w:val="Heading1"/>
      </w:pPr>
      <w:r>
        <w:t>Executive Summary. Release Decision</w:t>
      </w:r>
    </w:p>
    <w:p>
      <w:pPr>
        <w:pStyle w:val="SectionLead"/>
      </w:pPr>
      <w:r>
        <w:t>What has been built, what has been proved, and what remains open.</w:t>
      </w:r>
    </w:p>
    <w:tbl>
      <w:tblPr>
        <w:tblW w:type="auto" w:w="0"/>
        <w:jc w:val="center"/>
        <w:tblLayout w:type="fixed"/>
        <w:tblLook w:firstColumn="1" w:firstRow="1" w:lastColumn="0" w:lastRow="0" w:noHBand="0" w:noVBand="1" w:val="04A0"/>
      </w:tblPr>
      <w:tblGrid>
        <w:gridCol w:w="9978"/>
      </w:tblGrid>
      <w:tr>
        <w:trPr>
          <w:cantSplit/>
          <w:tblHeader/>
        </w:trPr>
        <w:tc>
          <w:tcPr>
            <w:tcW w:type="dxa" w:w="9720"/>
            <w:shd w:fill="EAF8F2"/>
            <w:tcBorders>
              <w:top w:val="single" w:sz="10" w:color="2AA876"/>
              <w:left w:val="single" w:sz="18" w:color="2AA876"/>
              <w:bottom w:val="single" w:sz="10" w:color="2AA876"/>
              <w:right w:val="single" w:sz="10" w:color="2AA876"/>
            </w:tcBorders>
            <w:tcMar>
              <w:top w:w="90" w:type="dxa"/>
              <w:start w:w="125" w:type="dxa"/>
              <w:bottom w:w="90" w:type="dxa"/>
              <w:end w:w="125" w:type="dxa"/>
            </w:tcMar>
          </w:tcPr>
          <w:p>
            <w:pPr>
              <w:spacing w:after="40"/>
            </w:pPr>
            <w:r>
              <w:rPr>
                <w:b/>
                <w:color w:val="2AA876"/>
                <w:sz w:val="18"/>
              </w:rPr>
              <w:t>FORMAL DECISION - GO</w:t>
            </w:r>
          </w:p>
          <w:p>
            <w:pPr>
              <w:spacing w:after="0"/>
            </w:pPr>
            <w:r>
              <w:t>Promote Chess 2.0 as an upgraded foundational proof campaign and RTX 5070 Ti Laptop handoff. Freeze the exact rule/history identity, represent claimable draws as actions, issue content-addressed WDL obligations, and keep the classical initial position UNKNOWN until quantified proof obligations close.</w:t>
            </w:r>
          </w:p>
        </w:tc>
      </w:tr>
    </w:tbl>
    <w:p>
      <w:pPr>
        <w:pStyle w:val="Heading2"/>
      </w:pPr>
      <w:r>
        <w:t>Verified release result</w:t>
      </w:r>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2088"/>
            <w:shd w:fill="0B1736"/>
            <w:tcMar>
              <w:top w:w="55" w:type="dxa"/>
              <w:start w:w="65" w:type="dxa"/>
              <w:bottom w:w="55" w:type="dxa"/>
              <w:end w:w="65" w:type="dxa"/>
            </w:tcMar>
          </w:tcPr>
          <w:p>
            <w:r>
              <w:rPr>
                <w:b/>
                <w:color w:val="FFFFFF"/>
                <w:sz w:val="16"/>
              </w:rPr>
              <w:t>Area</w:t>
            </w:r>
          </w:p>
        </w:tc>
        <w:tc>
          <w:tcPr>
            <w:tcW w:type="dxa" w:w="7416"/>
            <w:shd w:fill="0B1736"/>
            <w:tcMar>
              <w:top w:w="55" w:type="dxa"/>
              <w:start w:w="65" w:type="dxa"/>
              <w:bottom w:w="55" w:type="dxa"/>
              <w:end w:w="65" w:type="dxa"/>
            </w:tcMar>
          </w:tcPr>
          <w:p>
            <w:r>
              <w:rPr>
                <w:b/>
                <w:color w:val="FFFFFF"/>
                <w:sz w:val="16"/>
              </w:rPr>
              <w:t>Captured result</w:t>
            </w:r>
          </w:p>
        </w:tc>
      </w:tr>
      <w:tr>
        <w:trPr>
          <w:cantSplit/>
        </w:trPr>
        <w:tc>
          <w:tcPr>
            <w:tcW w:type="dxa" w:w="208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Initial position</w:t>
            </w:r>
          </w:p>
        </w:tc>
        <w:tc>
          <w:tcPr>
            <w:tcW w:type="dxa" w:w="741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20 exact root obligations; 0 independently verified child values; root UNKNOWN</w:t>
            </w:r>
          </w:p>
        </w:tc>
      </w:tr>
      <w:tr>
        <w:trPr>
          <w:cantSplit/>
        </w:trPr>
        <w:tc>
          <w:tcPr>
            <w:tcW w:type="dxa" w:w="208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Python</w:t>
            </w:r>
          </w:p>
        </w:tc>
        <w:tc>
          <w:tcPr>
            <w:tcW w:type="dxa" w:w="741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92 tests passed; 20 exact perft checks</w:t>
            </w:r>
          </w:p>
        </w:tc>
      </w:tr>
      <w:tr>
        <w:trPr>
          <w:cantSplit/>
        </w:trPr>
        <w:tc>
          <w:tcPr>
            <w:tcW w:type="dxa" w:w="208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Native C++20</w:t>
            </w:r>
          </w:p>
        </w:tc>
        <w:tc>
          <w:tcPr>
            <w:tcW w:type="dxa" w:w="741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3 CTest gates passed; depth-5 initial perft 4,865,609 nodes</w:t>
            </w:r>
          </w:p>
        </w:tc>
      </w:tr>
      <w:tr>
        <w:trPr>
          <w:cantSplit/>
        </w:trPr>
        <w:tc>
          <w:tcPr>
            <w:tcW w:type="dxa" w:w="208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Packed protocol</w:t>
            </w:r>
          </w:p>
        </w:tc>
        <w:tc>
          <w:tcPr>
            <w:tcW w:type="dxa" w:w="741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4 positions; 97 moves; 0 differential mismatches</w:t>
            </w:r>
          </w:p>
        </w:tc>
      </w:tr>
      <w:tr>
        <w:trPr>
          <w:cantSplit/>
        </w:trPr>
        <w:tc>
          <w:tcPr>
            <w:tcW w:type="dxa" w:w="208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Certificates</w:t>
            </w:r>
          </w:p>
        </w:tc>
        <w:tc>
          <w:tcPr>
            <w:tcW w:type="dxa" w:w="741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Mate certificate verified; exact bounded WIN fixture; initial-depth-2 fixture safely UNKNOWN</w:t>
            </w:r>
          </w:p>
        </w:tc>
      </w:tr>
      <w:tr>
        <w:trPr>
          <w:cantSplit/>
        </w:trPr>
        <w:tc>
          <w:tcPr>
            <w:tcW w:type="dxa" w:w="208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Tablebases</w:t>
            </w:r>
          </w:p>
        </w:tc>
        <w:tc>
          <w:tcPr>
            <w:tcW w:type="dxa" w:w="741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Complete KQK max DTM 20 plies; KRK max DTM 32 plies</w:t>
            </w:r>
          </w:p>
        </w:tc>
      </w:tr>
      <w:tr>
        <w:trPr>
          <w:cantSplit/>
        </w:trPr>
        <w:tc>
          <w:tcPr>
            <w:tcW w:type="dxa" w:w="208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Distribution</w:t>
            </w:r>
          </w:p>
        </w:tc>
        <w:tc>
          <w:tcPr>
            <w:tcW w:type="dxa" w:w="741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Wheel 332,019 bytes; isolated clean install passed</w:t>
            </w:r>
          </w:p>
        </w:tc>
      </w:tr>
      <w:tr>
        <w:trPr>
          <w:cantSplit/>
        </w:trPr>
        <w:tc>
          <w:tcPr>
            <w:tcW w:type="dxa" w:w="208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CUDA laptop</w:t>
            </w:r>
          </w:p>
        </w:tc>
        <w:tc>
          <w:tcPr>
            <w:tcW w:type="dxa" w:w="741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Source and SM120 preset supplied; no physical laptop benchmark claimed in this environment</w:t>
            </w:r>
          </w:p>
        </w:tc>
      </w:tr>
    </w:tbl>
    <w:p>
      <w:pPr>
        <w:pStyle w:val="Heading2"/>
      </w:pPr>
      <w:r>
        <w:t>What the deliverable is for</w:t>
      </w:r>
    </w:p>
    <w:p>
      <w:pPr>
        <w:pStyle w:val="Bullet"/>
        <w:spacing w:after="20"/>
        <w:ind w:left="346" w:hanging="216"/>
      </w:pPr>
      <w:r>
        <w:rPr>
          <w:b/>
          <w:color w:val="2AA876"/>
        </w:rPr>
        <w:t xml:space="preserve">• </w:t>
      </w:r>
      <w:r>
        <w:t>Codex can compile the optional CUDA adapters, compare them against the exact Python and C++ host oracles, and record device evidence without weakening proof semantics.</w:t>
      </w:r>
    </w:p>
    <w:p>
      <w:pPr>
        <w:pStyle w:val="Bullet"/>
        <w:spacing w:after="20"/>
        <w:ind w:left="346" w:hanging="216"/>
      </w:pPr>
      <w:r>
        <w:rPr>
          <w:b/>
          <w:color w:val="2AA876"/>
        </w:rPr>
        <w:t xml:space="preserve">• </w:t>
      </w:r>
      <w:r>
        <w:t>The twenty first moves can be leased as independent shards, with candidate WDL results kept non-authoritative until a separate checker record is attached.</w:t>
      </w:r>
    </w:p>
    <w:p>
      <w:pPr>
        <w:pStyle w:val="Bullet"/>
        <w:spacing w:after="20"/>
        <w:ind w:left="346" w:hanging="216"/>
      </w:pPr>
      <w:r>
        <w:rPr>
          <w:b/>
          <w:color w:val="2AA876"/>
        </w:rPr>
        <w:t xml:space="preserve">• </w:t>
      </w:r>
      <w:r>
        <w:t>The package supplies a reproducible starting point for out-of-core proof DAGs, larger exact endgame partitions, dead-position certificates and distributed replay.</w:t>
      </w:r>
    </w:p>
    <w:p>
      <w:r>
        <w:br w:type="page"/>
      </w:r>
    </w:p>
    <w:p>
      <w:pPr>
        <w:pStyle w:val="Heading1"/>
      </w:pPr>
      <w:r>
        <w:t>Reading Map. Contents and Claim Ladder</w:t>
      </w:r>
    </w:p>
    <w:p>
      <w:pPr>
        <w:pStyle w:val="SectionLead"/>
      </w:pPr>
      <w:r>
        <w:t>The report moves from proof meaning to exact state, certificates, campaign orchestration, RTX execution and promotion gates.</w:t>
      </w:r>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1224"/>
            <w:shd w:fill="0B1736"/>
            <w:tcMar>
              <w:top w:w="55" w:type="dxa"/>
              <w:start w:w="65" w:type="dxa"/>
              <w:bottom w:w="55" w:type="dxa"/>
              <w:end w:w="65" w:type="dxa"/>
            </w:tcMar>
          </w:tcPr>
          <w:p>
            <w:r>
              <w:rPr>
                <w:b/>
                <w:color w:val="FFFFFF"/>
                <w:sz w:val="16"/>
              </w:rPr>
              <w:t>Sections</w:t>
            </w:r>
          </w:p>
        </w:tc>
        <w:tc>
          <w:tcPr>
            <w:tcW w:type="dxa" w:w="8280"/>
            <w:shd w:fill="0B1736"/>
            <w:tcMar>
              <w:top w:w="55" w:type="dxa"/>
              <w:start w:w="65" w:type="dxa"/>
              <w:bottom w:w="55" w:type="dxa"/>
              <w:end w:w="65" w:type="dxa"/>
            </w:tcMar>
          </w:tcPr>
          <w:p>
            <w:r>
              <w:rPr>
                <w:b/>
                <w:color w:val="FFFFFF"/>
                <w:sz w:val="16"/>
              </w:rPr>
              <w:t>Purpose</w:t>
            </w:r>
          </w:p>
        </w:tc>
      </w:tr>
      <w:tr>
        <w:trPr>
          <w:cantSplit/>
        </w:trPr>
        <w:tc>
          <w:tcPr>
            <w:tcW w:type="dxa" w:w="122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1-3</w:t>
            </w:r>
          </w:p>
        </w:tc>
        <w:tc>
          <w:tcPr>
            <w:tcW w:type="dxa" w:w="828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Meaning, source basis and component identity</w:t>
            </w:r>
          </w:p>
        </w:tc>
      </w:tr>
      <w:tr>
        <w:trPr>
          <w:cantSplit/>
        </w:trPr>
        <w:tc>
          <w:tcPr>
            <w:tcW w:type="dxa" w:w="122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4-7</w:t>
            </w:r>
          </w:p>
        </w:tc>
        <w:tc>
          <w:tcPr>
            <w:tcW w:type="dxa" w:w="828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FIDE action profile, UGTS authority and exact history state</w:t>
            </w:r>
          </w:p>
        </w:tc>
      </w:tr>
      <w:tr>
        <w:trPr>
          <w:cantSplit/>
        </w:trPr>
        <w:tc>
          <w:tcPr>
            <w:tcW w:type="dxa" w:w="122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8-12</w:t>
            </w:r>
          </w:p>
        </w:tc>
        <w:tc>
          <w:tcPr>
            <w:tcW w:type="dxa" w:w="828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WDL calculus, certificates, root obligations and SQLite campaign</w:t>
            </w:r>
          </w:p>
        </w:tc>
      </w:tr>
      <w:tr>
        <w:trPr>
          <w:cantSplit/>
        </w:trPr>
        <w:tc>
          <w:tcPr>
            <w:tcW w:type="dxa" w:w="122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13-15</w:t>
            </w:r>
          </w:p>
        </w:tc>
        <w:tc>
          <w:tcPr>
            <w:tcW w:type="dxa" w:w="828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Bounded exact results, retained mate proof and exact KQK/KRK tables</w:t>
            </w:r>
          </w:p>
        </w:tc>
      </w:tr>
      <w:tr>
        <w:trPr>
          <w:cantSplit/>
        </w:trPr>
        <w:tc>
          <w:tcPr>
            <w:tcW w:type="dxa" w:w="122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16-20</w:t>
            </w:r>
          </w:p>
        </w:tc>
        <w:tc>
          <w:tcPr>
            <w:tcW w:type="dxa" w:w="828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C++20 core, packed protocol, RTX profile, VRAM plan and CUDA boundary</w:t>
            </w:r>
          </w:p>
        </w:tc>
      </w:tr>
      <w:tr>
        <w:trPr>
          <w:cantSplit/>
        </w:trPr>
        <w:tc>
          <w:tcPr>
            <w:tcW w:type="dxa" w:w="122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21-24</w:t>
            </w:r>
          </w:p>
        </w:tc>
        <w:tc>
          <w:tcPr>
            <w:tcW w:type="dxa" w:w="828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Codex workflow, global proof architecture, validation and performance evidence</w:t>
            </w:r>
          </w:p>
        </w:tc>
      </w:tr>
      <w:tr>
        <w:trPr>
          <w:cantSplit/>
        </w:trPr>
        <w:tc>
          <w:tcPr>
            <w:tcW w:type="dxa" w:w="122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25-28</w:t>
            </w:r>
          </w:p>
        </w:tc>
        <w:tc>
          <w:tcPr>
            <w:tcW w:type="dxa" w:w="828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Roadmap, mechanism catalog, package map, final definition and references</w:t>
            </w:r>
          </w:p>
        </w:tc>
      </w:tr>
    </w:tbl>
    <w:p>
      <w:pPr>
        <w:spacing w:after="60"/>
        <w:jc w:val="center"/>
      </w:pPr>
      <w:r>
        <w:drawing>
          <wp:inline xmlns:a="http://schemas.openxmlformats.org/drawingml/2006/main" xmlns:pic="http://schemas.openxmlformats.org/drawingml/2006/picture">
            <wp:extent cx="6080760" cy="2791309"/>
            <wp:docPr id="2" name="Picture 2" descr="Three distinct meanings of solved chess" title="solve_ladder.png"/>
            <wp:cNvGraphicFramePr>
              <a:graphicFrameLocks noChangeAspect="1"/>
            </wp:cNvGraphicFramePr>
            <a:graphic>
              <a:graphicData uri="http://schemas.openxmlformats.org/drawingml/2006/picture">
                <pic:pic>
                  <pic:nvPicPr>
                    <pic:cNvPr id="0" name="solve_ladder.png"/>
                    <pic:cNvPicPr/>
                  </pic:nvPicPr>
                  <pic:blipFill>
                    <a:blip r:embed="rId12"/>
                    <a:stretch>
                      <a:fillRect/>
                    </a:stretch>
                  </pic:blipFill>
                  <pic:spPr>
                    <a:xfrm>
                      <a:off x="0" y="0"/>
                      <a:ext cx="6080760" cy="2791309"/>
                    </a:xfrm>
                    <a:prstGeom prst="rect"/>
                  </pic:spPr>
                </pic:pic>
              </a:graphicData>
            </a:graphic>
          </wp:inline>
        </w:drawing>
      </w:r>
    </w:p>
    <w:p>
      <w:pPr>
        <w:pStyle w:val="FigureCaption"/>
        <w:jc w:val="center"/>
      </w:pPr>
      <w:r>
        <w:rPr>
          <w:b/>
        </w:rPr>
        <w:t xml:space="preserve">Figure 1. </w:t>
      </w:r>
      <w:r>
        <w:t>Rules solved, positions solved and the initial game solved are separate claims. Chess 2.0 establishes the first and selected instances of the second; the third remains UNKNOWN.</w:t>
      </w:r>
    </w:p>
    <w:tbl>
      <w:tblPr>
        <w:tblW w:type="auto" w:w="0"/>
        <w:jc w:val="center"/>
        <w:tblLayout w:type="fixed"/>
        <w:tblLook w:firstColumn="1" w:firstRow="1" w:lastColumn="0" w:lastRow="0" w:noHBand="0" w:noVBand="1" w:val="04A0"/>
      </w:tblPr>
      <w:tblGrid>
        <w:gridCol w:w="9978"/>
      </w:tblGrid>
      <w:tr>
        <w:trPr>
          <w:cantSplit/>
          <w:tblHeader/>
        </w:trPr>
        <w:tc>
          <w:tcPr>
            <w:tcW w:type="dxa" w:w="9720"/>
            <w:shd w:fill="EEF4FF"/>
            <w:tcBorders>
              <w:top w:val="single" w:sz="10" w:color="4568DC"/>
              <w:left w:val="single" w:sz="18" w:color="4568DC"/>
              <w:bottom w:val="single" w:sz="10" w:color="4568DC"/>
              <w:right w:val="single" w:sz="10" w:color="4568DC"/>
            </w:tcBorders>
            <w:tcMar>
              <w:top w:w="90" w:type="dxa"/>
              <w:start w:w="125" w:type="dxa"/>
              <w:bottom w:w="90" w:type="dxa"/>
              <w:end w:w="125" w:type="dxa"/>
            </w:tcMar>
          </w:tcPr>
          <w:p>
            <w:pPr>
              <w:spacing w:after="40"/>
            </w:pPr>
            <w:r>
              <w:rPr>
                <w:b/>
                <w:color w:val="4568DC"/>
                <w:sz w:val="18"/>
              </w:rPr>
              <w:t>READING RULE</w:t>
            </w:r>
          </w:p>
          <w:p>
            <w:pPr>
              <w:spacing w:after="0"/>
            </w:pPr>
            <w:r>
              <w:t>An exact result is promoted only when its serialized rule profile, state identity, action coverage, certificate graph and independent verification status support it. Search depth, evaluation score and GPU completion do not substitute for those obligations.</w:t>
            </w:r>
          </w:p>
        </w:tc>
      </w:tr>
    </w:tbl>
    <w:p>
      <w:r>
        <w:br w:type="page"/>
      </w:r>
    </w:p>
    <w:p>
      <w:pPr>
        <w:pStyle w:val="Heading1"/>
      </w:pPr>
      <w:r>
        <w:t>1. Source Basis and Component Identity</w:t>
      </w:r>
    </w:p>
    <w:p>
      <w:pPr>
        <w:pStyle w:val="SectionLead"/>
      </w:pPr>
      <w:r>
        <w:t>UGTS supplies authority discipline; chess rules, WDL logic and GPU engineering are explicit application additions.</w:t>
      </w:r>
    </w:p>
    <w:p>
      <w:pPr>
        <w:spacing w:after="60"/>
        <w:jc w:val="center"/>
      </w:pPr>
      <w:r>
        <w:drawing>
          <wp:inline xmlns:a="http://schemas.openxmlformats.org/drawingml/2006/main" xmlns:pic="http://schemas.openxmlformats.org/drawingml/2006/picture">
            <wp:extent cx="6144768" cy="3376091"/>
            <wp:docPr id="3" name="Picture 3" descr="UGTS source layers and Chess 2.0 engineering delta" title="source_grounding.png"/>
            <wp:cNvGraphicFramePr>
              <a:graphicFrameLocks noChangeAspect="1"/>
            </wp:cNvGraphicFramePr>
            <a:graphic>
              <a:graphicData uri="http://schemas.openxmlformats.org/drawingml/2006/picture">
                <pic:pic>
                  <pic:nvPicPr>
                    <pic:cNvPr id="0" name="source_grounding.png"/>
                    <pic:cNvPicPr/>
                  </pic:nvPicPr>
                  <pic:blipFill>
                    <a:blip r:embed="rId13"/>
                    <a:stretch>
                      <a:fillRect/>
                    </a:stretch>
                  </pic:blipFill>
                  <pic:spPr>
                    <a:xfrm>
                      <a:off x="0" y="0"/>
                      <a:ext cx="6144768" cy="3376091"/>
                    </a:xfrm>
                    <a:prstGeom prst="rect"/>
                  </pic:spPr>
                </pic:pic>
              </a:graphicData>
            </a:graphic>
          </wp:inline>
        </w:drawing>
      </w:r>
    </w:p>
    <w:p>
      <w:pPr>
        <w:pStyle w:val="FigureCaption"/>
        <w:jc w:val="center"/>
      </w:pPr>
      <w:r>
        <w:rPr>
          <w:b/>
        </w:rPr>
        <w:t xml:space="preserve">Figure 2. </w:t>
      </w:r>
      <w:r>
        <w:t>The new chess layer retains the recurring support -&gt; compatibility -&gt; guard -&gt; verified event -&gt; transition -&gt; lineage architecture.</w:t>
      </w:r>
    </w:p>
    <w:p>
      <w:pPr>
        <w:pStyle w:val="Heading2"/>
      </w:pPr>
      <w:r>
        <w:t>1.1 Immediate source use</w:t>
      </w:r>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2376"/>
            <w:shd w:fill="0B1736"/>
            <w:tcMar>
              <w:top w:w="55" w:type="dxa"/>
              <w:start w:w="65" w:type="dxa"/>
              <w:bottom w:w="55" w:type="dxa"/>
              <w:end w:w="65" w:type="dxa"/>
            </w:tcMar>
          </w:tcPr>
          <w:p>
            <w:r>
              <w:rPr>
                <w:b/>
                <w:color w:val="FFFFFF"/>
                <w:sz w:val="15"/>
              </w:rPr>
              <w:t>Source</w:t>
            </w:r>
          </w:p>
        </w:tc>
        <w:tc>
          <w:tcPr>
            <w:tcW w:type="dxa" w:w="7128"/>
            <w:shd w:fill="0B1736"/>
            <w:tcMar>
              <w:top w:w="55" w:type="dxa"/>
              <w:start w:w="65" w:type="dxa"/>
              <w:bottom w:w="55" w:type="dxa"/>
              <w:end w:w="65" w:type="dxa"/>
            </w:tcMar>
          </w:tcPr>
          <w:p>
            <w:r>
              <w:rPr>
                <w:b/>
                <w:color w:val="FFFFFF"/>
                <w:sz w:val="15"/>
              </w:rPr>
              <w:t>Use in Chess 2.0</w:t>
            </w:r>
          </w:p>
        </w:tc>
      </w:tr>
      <w:tr>
        <w:trPr>
          <w:cantSplit/>
        </w:trPr>
        <w:tc>
          <w:tcPr>
            <w:tcW w:type="dxa" w:w="237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UGTS-GN 1.1</w:t>
            </w:r>
          </w:p>
        </w:tc>
        <w:tc>
          <w:tcPr>
            <w:tcW w:type="dxa" w:w="712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Authority chain, packed precision and hardware evidence boundaries</w:t>
            </w:r>
          </w:p>
        </w:tc>
      </w:tr>
      <w:tr>
        <w:trPr>
          <w:cantSplit/>
        </w:trPr>
        <w:tc>
          <w:tcPr>
            <w:tcW w:type="dxa" w:w="237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UGTS-KC 2.0</w:t>
            </w:r>
          </w:p>
        </w:tc>
        <w:tc>
          <w:tcPr>
            <w:tcW w:type="dxa" w:w="712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Typed state, topology, bounded queries and explicit degeneracy</w:t>
            </w:r>
          </w:p>
        </w:tc>
      </w:tr>
      <w:tr>
        <w:trPr>
          <w:cantSplit/>
        </w:trPr>
        <w:tc>
          <w:tcPr>
            <w:tcW w:type="dxa" w:w="237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Two Hands 3.0</w:t>
            </w:r>
          </w:p>
        </w:tc>
        <w:tc>
          <w:tcPr>
            <w:tcW w:type="dxa" w:w="712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Proposal/commit, pre/post hashes, checkpoints and replay</w:t>
            </w:r>
          </w:p>
        </w:tc>
      </w:tr>
      <w:tr>
        <w:trPr>
          <w:cantSplit/>
        </w:trPr>
        <w:tc>
          <w:tcPr>
            <w:tcW w:type="dxa" w:w="237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Literal 3.6 / SCLP 3.6.2</w:t>
            </w:r>
          </w:p>
        </w:tc>
        <w:tc>
          <w:tcPr>
            <w:tcW w:type="dxa" w:w="712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Content addresses, dependency order, finite keys and bounded branching</w:t>
            </w:r>
          </w:p>
        </w:tc>
      </w:tr>
      <w:tr>
        <w:trPr>
          <w:cantSplit/>
        </w:trPr>
        <w:tc>
          <w:tcPr>
            <w:tcW w:type="dxa" w:w="237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Elizabeth 3.9</w:t>
            </w:r>
          </w:p>
        </w:tc>
        <w:tc>
          <w:tcPr>
            <w:tcW w:type="dxa" w:w="712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Deterministic game world, snapshots, CLI and offline delivery</w:t>
            </w:r>
          </w:p>
        </w:tc>
      </w:tr>
      <w:tr>
        <w:trPr>
          <w:cantSplit/>
        </w:trPr>
        <w:tc>
          <w:tcPr>
            <w:tcW w:type="dxa" w:w="237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Go 4.2 / Operator 4.2</w:t>
            </w:r>
          </w:p>
        </w:tc>
        <w:tc>
          <w:tcPr>
            <w:tcW w:type="dxa" w:w="712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Rules-position-game claim ladder; exact certificates; distinct evaluation, event and replay orders</w:t>
            </w:r>
          </w:p>
        </w:tc>
      </w:tr>
      <w:tr>
        <w:trPr>
          <w:cantSplit/>
        </w:trPr>
        <w:tc>
          <w:tcPr>
            <w:tcW w:type="dxa" w:w="237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Chess 1.0</w:t>
            </w:r>
          </w:p>
        </w:tc>
        <w:tc>
          <w:tcPr>
            <w:tcW w:type="dxa" w:w="712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Exact legal kernel, mate proofs, search boundary and complete KQK/KRK tables</w:t>
            </w:r>
          </w:p>
        </w:tc>
      </w:tr>
    </w:tbl>
    <w:p>
      <w:pPr>
        <w:pStyle w:val="SourceNote"/>
      </w:pPr>
      <w:r>
        <w:rPr>
          <w:b/>
        </w:rPr>
        <w:t xml:space="preserve">Grounding: </w:t>
      </w:r>
      <w:r>
        <w:t>The source PDFs do not claim a classical chess solution or RTX implementation. The chess/WDL/campaign/CUDA layers are visibly engineering-derived. SARA 3.6.3 was reviewed but its wallet-specific mechanisms were excluded.</w:t>
      </w:r>
    </w:p>
    <w:p>
      <w:r>
        <w:br w:type="page"/>
      </w:r>
    </w:p>
    <w:p>
      <w:pPr>
        <w:pStyle w:val="Heading1"/>
      </w:pPr>
      <w:r>
        <w:t>2. What a Game-Theoretic Solution Requires</w:t>
      </w:r>
    </w:p>
    <w:p>
      <w:pPr>
        <w:pStyle w:val="SectionLead"/>
      </w:pPr>
      <w:r>
        <w:t>A finite game can be defined exactly while its initial value remains computationally unresolved.</w:t>
      </w:r>
    </w:p>
    <w:p>
      <w:pPr>
        <w:pStyle w:val="Heading2"/>
      </w:pPr>
      <w:r>
        <w:t>2.1 Three independent claims</w:t>
      </w:r>
    </w:p>
    <w:tbl>
      <w:tblPr>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656"/>
            <w:shd w:fill="0B1736"/>
            <w:tcMar>
              <w:top w:w="55" w:type="dxa"/>
              <w:start w:w="65" w:type="dxa"/>
              <w:bottom w:w="55" w:type="dxa"/>
              <w:end w:w="65" w:type="dxa"/>
            </w:tcMar>
          </w:tcPr>
          <w:p>
            <w:r>
              <w:rPr>
                <w:b/>
                <w:color w:val="FFFFFF"/>
                <w:sz w:val="15"/>
              </w:rPr>
              <w:t>Claim</w:t>
            </w:r>
          </w:p>
        </w:tc>
        <w:tc>
          <w:tcPr>
            <w:tcW w:type="dxa" w:w="4896"/>
            <w:shd w:fill="0B1736"/>
            <w:tcMar>
              <w:top w:w="55" w:type="dxa"/>
              <w:start w:w="65" w:type="dxa"/>
              <w:bottom w:w="55" w:type="dxa"/>
              <w:end w:w="65" w:type="dxa"/>
            </w:tcMar>
          </w:tcPr>
          <w:p>
            <w:r>
              <w:rPr>
                <w:b/>
                <w:color w:val="FFFFFF"/>
                <w:sz w:val="15"/>
              </w:rPr>
              <w:t>Required evidence</w:t>
            </w:r>
          </w:p>
        </w:tc>
        <w:tc>
          <w:tcPr>
            <w:tcW w:type="dxa" w:w="2952"/>
            <w:shd w:fill="0B1736"/>
            <w:tcMar>
              <w:top w:w="55" w:type="dxa"/>
              <w:start w:w="65" w:type="dxa"/>
              <w:bottom w:w="55" w:type="dxa"/>
              <w:end w:w="65" w:type="dxa"/>
            </w:tcMar>
          </w:tcPr>
          <w:p>
            <w:r>
              <w:rPr>
                <w:b/>
                <w:color w:val="FFFFFF"/>
                <w:sz w:val="15"/>
              </w:rPr>
              <w:t>Chess 2.0 status</w:t>
            </w:r>
          </w:p>
        </w:tc>
      </w:tr>
      <w:tr>
        <w:trPr>
          <w:cantSplit/>
        </w:trPr>
        <w:tc>
          <w:tcPr>
            <w:tcW w:type="dxa" w:w="165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Rules solved</w:t>
            </w:r>
          </w:p>
        </w:tc>
        <w:tc>
          <w:tcPr>
            <w:tcW w:type="dxa" w:w="489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Every legal action, terminal and transition is deterministic and testable.</w:t>
            </w:r>
          </w:p>
        </w:tc>
        <w:tc>
          <w:tcPr>
            <w:tcW w:type="dxa" w:w="295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Implemented</w:t>
            </w:r>
          </w:p>
        </w:tc>
      </w:tr>
      <w:tr>
        <w:trPr>
          <w:cantSplit/>
        </w:trPr>
        <w:tc>
          <w:tcPr>
            <w:tcW w:type="dxa" w:w="165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Position solved</w:t>
            </w:r>
          </w:p>
        </w:tc>
        <w:tc>
          <w:tcPr>
            <w:tcW w:type="dxa" w:w="489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A fully serialized finite state has a complete proof certificate or exact table entry.</w:t>
            </w:r>
          </w:p>
        </w:tc>
        <w:tc>
          <w:tcPr>
            <w:tcW w:type="dxa" w:w="295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Implemented for bounded fixtures, mate certificates, KQK and KRK</w:t>
            </w:r>
          </w:p>
        </w:tc>
      </w:tr>
      <w:tr>
        <w:trPr>
          <w:cantSplit/>
        </w:trPr>
        <w:tc>
          <w:tcPr>
            <w:tcW w:type="dxa" w:w="165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Game solved</w:t>
            </w:r>
          </w:p>
        </w:tc>
        <w:tc>
          <w:tcPr>
            <w:tcW w:type="dxa" w:w="489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The orthodox initial position is certified WIN, DRAW or LOSS under one complete rule profile.</w:t>
            </w:r>
          </w:p>
        </w:tc>
        <w:tc>
          <w:tcPr>
            <w:tcW w:type="dxa" w:w="295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Not established; UNKNOWN</w:t>
            </w:r>
          </w:p>
        </w:tc>
      </w:tr>
    </w:tbl>
    <w:p>
      <w:pPr>
        <w:pStyle w:val="Heading2"/>
      </w:pPr>
      <w:r>
        <w:t>2.2 Weak, strong and ultra-weak terminology</w:t>
      </w:r>
    </w:p>
    <w:p>
      <w:pPr>
        <w:pStyle w:val="Bullet"/>
        <w:spacing w:after="60"/>
        <w:ind w:left="346" w:hanging="216"/>
      </w:pPr>
      <w:r>
        <w:rPr>
          <w:b/>
          <w:color w:val="2AA876"/>
        </w:rPr>
        <w:t xml:space="preserve">• </w:t>
      </w:r>
      <w:r>
        <w:t>An ultra-weak solution determines the game-theoretic value of the initial position.</w:t>
      </w:r>
    </w:p>
    <w:p>
      <w:pPr>
        <w:pStyle w:val="Bullet"/>
        <w:spacing w:after="60"/>
        <w:ind w:left="346" w:hanging="216"/>
      </w:pPr>
      <w:r>
        <w:rPr>
          <w:b/>
          <w:color w:val="2AA876"/>
        </w:rPr>
        <w:t xml:space="preserve">• </w:t>
      </w:r>
      <w:r>
        <w:t>A weak solution also gives a strategy from the initial position that achieves that value against every reply.</w:t>
      </w:r>
    </w:p>
    <w:p>
      <w:pPr>
        <w:pStyle w:val="Bullet"/>
        <w:spacing w:after="60"/>
        <w:ind w:left="346" w:hanging="216"/>
      </w:pPr>
      <w:r>
        <w:rPr>
          <w:b/>
          <w:color w:val="2AA876"/>
        </w:rPr>
        <w:t xml:space="preserve">• </w:t>
      </w:r>
      <w:r>
        <w:t>A strong solution gives the game-theoretic value and optimal action for every legal position in the selected state space.</w:t>
      </w:r>
    </w:p>
    <w:p>
      <w:pPr>
        <w:pStyle w:val="Bullet"/>
        <w:spacing w:after="60"/>
        <w:ind w:left="346" w:hanging="216"/>
      </w:pPr>
      <w:r>
        <w:rPr>
          <w:b/>
          <w:color w:val="2AA876"/>
        </w:rPr>
        <w:t xml:space="preserve">• </w:t>
      </w:r>
      <w:r>
        <w:t>Chess 2.0 claims none of these for unrestricted classical chess. Its root node is deliberately serialized as UNKNOWN.</w:t>
      </w:r>
    </w:p>
    <w:tbl>
      <w:tblPr>
        <w:tblW w:type="auto" w:w="0"/>
        <w:jc w:val="center"/>
        <w:tblLayout w:type="fixed"/>
        <w:tblLook w:firstColumn="1" w:firstRow="1" w:lastColumn="0" w:lastRow="0" w:noHBand="0" w:noVBand="1" w:val="04A0"/>
      </w:tblPr>
      <w:tblGrid>
        <w:gridCol w:w="9978"/>
      </w:tblGrid>
      <w:tr>
        <w:trPr>
          <w:cantSplit/>
          <w:tblHeader/>
        </w:trPr>
        <w:tc>
          <w:tcPr>
            <w:tcW w:type="dxa" w:w="9720"/>
            <w:shd w:fill="F4F0FF"/>
            <w:tcBorders>
              <w:top w:val="single" w:sz="10" w:color="7357C5"/>
              <w:left w:val="single" w:sz="18" w:color="7357C5"/>
              <w:bottom w:val="single" w:sz="10" w:color="7357C5"/>
              <w:right w:val="single" w:sz="10" w:color="7357C5"/>
            </w:tcBorders>
            <w:tcMar>
              <w:top w:w="90" w:type="dxa"/>
              <w:start w:w="125" w:type="dxa"/>
              <w:bottom w:w="90" w:type="dxa"/>
              <w:end w:w="125" w:type="dxa"/>
            </w:tcMar>
          </w:tcPr>
          <w:p>
            <w:pPr>
              <w:spacing w:after="40"/>
            </w:pPr>
            <w:r>
              <w:rPr>
                <w:b/>
                <w:color w:val="7357C5"/>
                <w:sz w:val="18"/>
              </w:rPr>
              <w:t>WHY UNKNOWN IS A RESULT</w:t>
            </w:r>
          </w:p>
          <w:p>
            <w:pPr>
              <w:spacing w:after="0"/>
            </w:pPr>
            <w:r>
              <w:t>UNKNOWN means one or more quantified obligations remain open. It is not a heuristic draw, an engine disagreement, a timeout disguised as a result, or evidence that no solution exists.</w:t>
            </w:r>
          </w:p>
        </w:tc>
      </w:tr>
    </w:tbl>
    <w:p>
      <w:r>
        <w:br w:type="page"/>
      </w:r>
    </w:p>
    <w:p>
      <w:pPr>
        <w:pStyle w:val="Heading1"/>
      </w:pPr>
      <w:r>
        <w:t>3. Classical FIDE Rule and Action Profile</w:t>
      </w:r>
    </w:p>
    <w:p>
      <w:pPr>
        <w:pStyle w:val="SectionLead"/>
      </w:pPr>
      <w:r>
        <w:t>Moves, claimable draws and automatic terminals are distinct action classes.</w:t>
      </w:r>
    </w:p>
    <w:tbl>
      <w:tblPr>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2232"/>
            <w:shd w:fill="0B1736"/>
            <w:tcMar>
              <w:top w:w="55" w:type="dxa"/>
              <w:start w:w="65" w:type="dxa"/>
              <w:bottom w:w="55" w:type="dxa"/>
              <w:end w:w="65" w:type="dxa"/>
            </w:tcMar>
          </w:tcPr>
          <w:p>
            <w:r>
              <w:rPr>
                <w:b/>
                <w:color w:val="FFFFFF"/>
                <w:sz w:val="14"/>
              </w:rPr>
              <w:t>Action/terminal</w:t>
            </w:r>
          </w:p>
        </w:tc>
        <w:tc>
          <w:tcPr>
            <w:tcW w:type="dxa" w:w="2088"/>
            <w:shd w:fill="0B1736"/>
            <w:tcMar>
              <w:top w:w="55" w:type="dxa"/>
              <w:start w:w="65" w:type="dxa"/>
              <w:bottom w:w="55" w:type="dxa"/>
              <w:end w:w="65" w:type="dxa"/>
            </w:tcMar>
          </w:tcPr>
          <w:p>
            <w:r>
              <w:rPr>
                <w:b/>
                <w:color w:val="FFFFFF"/>
                <w:sz w:val="14"/>
              </w:rPr>
              <w:t>Class</w:t>
            </w:r>
          </w:p>
        </w:tc>
        <w:tc>
          <w:tcPr>
            <w:tcW w:type="dxa" w:w="5184"/>
            <w:shd w:fill="0B1736"/>
            <w:tcMar>
              <w:top w:w="55" w:type="dxa"/>
              <w:start w:w="65" w:type="dxa"/>
              <w:bottom w:w="55" w:type="dxa"/>
              <w:end w:w="65" w:type="dxa"/>
            </w:tcMar>
          </w:tcPr>
          <w:p>
            <w:r>
              <w:rPr>
                <w:b/>
                <w:color w:val="FFFFFF"/>
                <w:sz w:val="14"/>
              </w:rPr>
              <w:t>Proof treatment</w:t>
            </w:r>
          </w:p>
        </w:tc>
      </w:tr>
      <w:tr>
        <w:trPr>
          <w:cantSplit/>
        </w:trPr>
        <w:tc>
          <w:tcPr>
            <w:tcW w:type="dxa" w:w="223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4"/>
              </w:rPr>
              <w:t>Ordinary move</w:t>
            </w:r>
          </w:p>
        </w:tc>
        <w:tc>
          <w:tcPr>
            <w:tcW w:type="dxa" w:w="208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4"/>
              </w:rPr>
              <w:t>Legal board transition</w:t>
            </w:r>
          </w:p>
        </w:tc>
        <w:tc>
          <w:tcPr>
            <w:tcW w:type="dxa" w:w="518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4"/>
              </w:rPr>
              <w:t>Must pass occupancy, motion, special-right and king-safety checks</w:t>
            </w:r>
          </w:p>
        </w:tc>
      </w:tr>
      <w:tr>
        <w:trPr>
          <w:cantSplit/>
        </w:trPr>
        <w:tc>
          <w:tcPr>
            <w:tcW w:type="dxa" w:w="223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4"/>
              </w:rPr>
              <w:t>Current draw claim</w:t>
            </w:r>
          </w:p>
        </w:tc>
        <w:tc>
          <w:tcPr>
            <w:tcW w:type="dxa" w:w="208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4"/>
              </w:rPr>
              <w:t>Optional player action</w:t>
            </w:r>
          </w:p>
        </w:tc>
        <w:tc>
          <w:tcPr>
            <w:tcW w:type="dxa" w:w="518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4"/>
              </w:rPr>
              <w:t>Threefold repetition or 50-move condition already present</w:t>
            </w:r>
          </w:p>
        </w:tc>
      </w:tr>
      <w:tr>
        <w:trPr>
          <w:cantSplit/>
        </w:trPr>
        <w:tc>
          <w:tcPr>
            <w:tcW w:type="dxa" w:w="223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4"/>
              </w:rPr>
              <w:t>Claim by intended move</w:t>
            </w:r>
          </w:p>
        </w:tc>
        <w:tc>
          <w:tcPr>
            <w:tcW w:type="dxa" w:w="208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4"/>
              </w:rPr>
              <w:t>Optional player action</w:t>
            </w:r>
          </w:p>
        </w:tc>
        <w:tc>
          <w:tcPr>
            <w:tcW w:type="dxa" w:w="518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4"/>
              </w:rPr>
              <w:t>Declared legal move would create third repetition or complete 50 moves</w:t>
            </w:r>
          </w:p>
        </w:tc>
      </w:tr>
      <w:tr>
        <w:trPr>
          <w:cantSplit/>
        </w:trPr>
        <w:tc>
          <w:tcPr>
            <w:tcW w:type="dxa" w:w="223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4"/>
              </w:rPr>
              <w:t>Checkmate</w:t>
            </w:r>
          </w:p>
        </w:tc>
        <w:tc>
          <w:tcPr>
            <w:tcW w:type="dxa" w:w="208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4"/>
              </w:rPr>
              <w:t>Automatic terminal</w:t>
            </w:r>
          </w:p>
        </w:tc>
        <w:tc>
          <w:tcPr>
            <w:tcW w:type="dxa" w:w="518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4"/>
              </w:rPr>
              <w:t>Side to move has no legal move and is in check; winner is the opponent</w:t>
            </w:r>
          </w:p>
        </w:tc>
      </w:tr>
      <w:tr>
        <w:trPr>
          <w:cantSplit/>
        </w:trPr>
        <w:tc>
          <w:tcPr>
            <w:tcW w:type="dxa" w:w="223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4"/>
              </w:rPr>
              <w:t>Stalemate</w:t>
            </w:r>
          </w:p>
        </w:tc>
        <w:tc>
          <w:tcPr>
            <w:tcW w:type="dxa" w:w="208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4"/>
              </w:rPr>
              <w:t>Automatic terminal</w:t>
            </w:r>
          </w:p>
        </w:tc>
        <w:tc>
          <w:tcPr>
            <w:tcW w:type="dxa" w:w="518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4"/>
              </w:rPr>
              <w:t>No legal move and not in check</w:t>
            </w:r>
          </w:p>
        </w:tc>
      </w:tr>
      <w:tr>
        <w:trPr>
          <w:cantSplit/>
        </w:trPr>
        <w:tc>
          <w:tcPr>
            <w:tcW w:type="dxa" w:w="223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4"/>
              </w:rPr>
              <w:t>Fivefold repetition</w:t>
            </w:r>
          </w:p>
        </w:tc>
        <w:tc>
          <w:tcPr>
            <w:tcW w:type="dxa" w:w="208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4"/>
              </w:rPr>
              <w:t>Automatic terminal</w:t>
            </w:r>
          </w:p>
        </w:tc>
        <w:tc>
          <w:tcPr>
            <w:tcW w:type="dxa" w:w="518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4"/>
              </w:rPr>
              <w:t>Exact repetition identity occurs at least five times</w:t>
            </w:r>
          </w:p>
        </w:tc>
      </w:tr>
      <w:tr>
        <w:trPr>
          <w:cantSplit/>
        </w:trPr>
        <w:tc>
          <w:tcPr>
            <w:tcW w:type="dxa" w:w="223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4"/>
              </w:rPr>
              <w:t>75-move rule</w:t>
            </w:r>
          </w:p>
        </w:tc>
        <w:tc>
          <w:tcPr>
            <w:tcW w:type="dxa" w:w="208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4"/>
              </w:rPr>
              <w:t>Automatic terminal</w:t>
            </w:r>
          </w:p>
        </w:tc>
        <w:tc>
          <w:tcPr>
            <w:tcW w:type="dxa" w:w="518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4"/>
              </w:rPr>
              <w:t>150 halfmoves without pawn move or capture; checkmate takes precedence</w:t>
            </w:r>
          </w:p>
        </w:tc>
      </w:tr>
      <w:tr>
        <w:trPr>
          <w:cantSplit/>
        </w:trPr>
        <w:tc>
          <w:tcPr>
            <w:tcW w:type="dxa" w:w="223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4"/>
              </w:rPr>
              <w:t>Dead position</w:t>
            </w:r>
          </w:p>
        </w:tc>
        <w:tc>
          <w:tcPr>
            <w:tcW w:type="dxa" w:w="208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4"/>
              </w:rPr>
              <w:t>Automatic terminal</w:t>
            </w:r>
          </w:p>
        </w:tc>
        <w:tc>
          <w:tcPr>
            <w:tcW w:type="dxa" w:w="518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4"/>
              </w:rPr>
              <w:t>Requires an exact certificate that no mating sequence is possible</w:t>
            </w:r>
          </w:p>
        </w:tc>
      </w:tr>
    </w:tbl>
    <w:p>
      <w:pPr>
        <w:pStyle w:val="Heading2"/>
      </w:pPr>
      <w:r>
        <w:t>3.1 Declared profile</w:t>
      </w:r>
    </w:p>
    <w:tbl>
      <w:tblPr>
        <w:tblW w:type="auto" w:w="0"/>
        <w:jc w:val="center"/>
        <w:tblLayout w:type="fixed"/>
        <w:tblLook w:firstColumn="1" w:firstRow="1" w:lastColumn="0" w:lastRow="0" w:noHBand="0" w:noVBand="1" w:val="04A0"/>
      </w:tblPr>
      <w:tblGrid>
        <w:gridCol w:w="9978"/>
      </w:tblGrid>
      <w:tr>
        <w:trPr>
          <w:cantSplit/>
          <w:tblHeader/>
        </w:trPr>
        <w:tc>
          <w:tcPr>
            <w:tcW w:type="dxa" w:w="9720"/>
            <w:shd w:fill="111C35"/>
            <w:tcBorders>
              <w:top w:val="single" w:sz="6" w:color="111C35"/>
              <w:left w:val="single" w:sz="6" w:color="111C35"/>
              <w:bottom w:val="single" w:sz="6" w:color="111C35"/>
              <w:right w:val="single" w:sz="6" w:color="111C35"/>
            </w:tcBorders>
            <w:tcMar>
              <w:top w:w="90" w:type="dxa"/>
              <w:start w:w="120" w:type="dxa"/>
              <w:bottom w:w="90" w:type="dxa"/>
              <w:end w:w="120" w:type="dxa"/>
            </w:tcMar>
          </w:tcPr>
          <w:p>
            <w:pPr>
              <w:spacing w:after="0"/>
            </w:pPr>
            <w:r>
              <w:rPr>
                <w:rFonts w:ascii="Liberation Mono" w:hAnsi="Liberation Mono"/>
                <w:color w:val="EAF2FF"/>
                <w:sz w:val="15"/>
              </w:rPr>
              <w:t>rules_profile = fide-classical-2023-claims-as-actions-v2</w:t>
              <w:br/>
              <w:t>move claims are optional actions</w:t>
              <w:br/>
              <w:t>automatic draws are terminals</w:t>
              <w:br/>
              <w:t>checkmate is evaluated before the automatic 75-move terminal</w:t>
            </w:r>
          </w:p>
        </w:tc>
      </w:tr>
    </w:tbl>
    <w:tbl>
      <w:tblPr>
        <w:tblW w:type="auto" w:w="0"/>
        <w:jc w:val="center"/>
        <w:tblLayout w:type="fixed"/>
        <w:tblLook w:firstColumn="1" w:firstRow="1" w:lastColumn="0" w:lastRow="0" w:noHBand="0" w:noVBand="1" w:val="04A0"/>
      </w:tblPr>
      <w:tblGrid>
        <w:gridCol w:w="9978"/>
      </w:tblGrid>
      <w:tr>
        <w:trPr>
          <w:cantSplit/>
          <w:tblHeader/>
        </w:trPr>
        <w:tc>
          <w:tcPr>
            <w:tcW w:type="dxa" w:w="9720"/>
            <w:shd w:fill="FFF4F2"/>
            <w:tcBorders>
              <w:top w:val="single" w:sz="10" w:color="C94C4C"/>
              <w:left w:val="single" w:sz="18" w:color="C94C4C"/>
              <w:bottom w:val="single" w:sz="10" w:color="C94C4C"/>
              <w:right w:val="single" w:sz="10" w:color="C94C4C"/>
            </w:tcBorders>
            <w:tcMar>
              <w:top w:w="90" w:type="dxa"/>
              <w:start w:w="125" w:type="dxa"/>
              <w:bottom w:w="90" w:type="dxa"/>
              <w:end w:w="125" w:type="dxa"/>
            </w:tcMar>
          </w:tcPr>
          <w:p>
            <w:pPr>
              <w:spacing w:after="40"/>
            </w:pPr>
            <w:r>
              <w:rPr>
                <w:b/>
                <w:color w:val="C94C4C"/>
                <w:sz w:val="18"/>
              </w:rPr>
              <w:t>DEAD-POSITION BOUNDARY</w:t>
            </w:r>
          </w:p>
          <w:p>
            <w:pPr>
              <w:spacing w:after="0"/>
            </w:pPr>
            <w:r>
              <w:t>The bundled recognizer certifies a conservative exact subset. A global classical proof must add a complete dead-position oracle or attach independently checkable dead-position certificates. Uncovered cases remain UNKNOWN.</w:t>
            </w:r>
          </w:p>
        </w:tc>
      </w:tr>
    </w:tbl>
    <w:p>
      <w:pPr>
        <w:pStyle w:val="SourceNote"/>
      </w:pPr>
      <w:r>
        <w:rPr>
          <w:b/>
        </w:rPr>
        <w:t xml:space="preserve">Grounding: </w:t>
      </w:r>
      <w:r>
        <w:t>FIDE Laws of Chess, Articles 5.2, 9.2, 9.3 and 9.6. The official 2023 text states that checkmate takes precedence over the automatic 75-move draw.</w:t>
      </w:r>
    </w:p>
    <w:p>
      <w:r>
        <w:br w:type="page"/>
      </w:r>
    </w:p>
    <w:p>
      <w:pPr>
        <w:pStyle w:val="Heading1"/>
      </w:pPr>
      <w:r>
        <w:t>4. One Action Through the UGTS Authority Chain</w:t>
      </w:r>
    </w:p>
    <w:p>
      <w:pPr>
        <w:pStyle w:val="SectionLead"/>
      </w:pPr>
      <w:r>
        <w:t>A move generator proposes; only the verifier and atomic transition alter authoritative state.</w:t>
      </w:r>
    </w:p>
    <w:p>
      <w:pPr>
        <w:spacing w:after="60"/>
        <w:jc w:val="center"/>
      </w:pPr>
      <w:r>
        <w:drawing>
          <wp:inline xmlns:a="http://schemas.openxmlformats.org/drawingml/2006/main" xmlns:pic="http://schemas.openxmlformats.org/drawingml/2006/picture">
            <wp:extent cx="6144768" cy="2133011"/>
            <wp:docPr id="4" name="Picture 4" descr="Chess action mapped to WHERE MATCH READY CHECKED CHANGE REMEMBER" title="authority_chain.png"/>
            <wp:cNvGraphicFramePr>
              <a:graphicFrameLocks noChangeAspect="1"/>
            </wp:cNvGraphicFramePr>
            <a:graphic>
              <a:graphicData uri="http://schemas.openxmlformats.org/drawingml/2006/picture">
                <pic:pic>
                  <pic:nvPicPr>
                    <pic:cNvPr id="0" name="authority_chain.png"/>
                    <pic:cNvPicPr/>
                  </pic:nvPicPr>
                  <pic:blipFill>
                    <a:blip r:embed="rId14"/>
                    <a:stretch>
                      <a:fillRect/>
                    </a:stretch>
                  </pic:blipFill>
                  <pic:spPr>
                    <a:xfrm>
                      <a:off x="0" y="0"/>
                      <a:ext cx="6144768" cy="2133011"/>
                    </a:xfrm>
                    <a:prstGeom prst="rect"/>
                  </pic:spPr>
                </pic:pic>
              </a:graphicData>
            </a:graphic>
          </wp:inline>
        </w:drawing>
      </w:r>
    </w:p>
    <w:p>
      <w:pPr>
        <w:pStyle w:val="FigureCaption"/>
        <w:jc w:val="center"/>
      </w:pPr>
      <w:r>
        <w:rPr>
          <w:b/>
        </w:rPr>
        <w:t xml:space="preserve">Figure 3. </w:t>
      </w:r>
      <w:r>
        <w:t>Chess mechanics mapped onto the canonical six-stage authority sequence.</w:t>
      </w:r>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2232"/>
            <w:shd w:fill="0B1736"/>
            <w:tcMar>
              <w:top w:w="55" w:type="dxa"/>
              <w:start w:w="65" w:type="dxa"/>
              <w:bottom w:w="55" w:type="dxa"/>
              <w:end w:w="65" w:type="dxa"/>
            </w:tcMar>
          </w:tcPr>
          <w:p>
            <w:r>
              <w:rPr>
                <w:b/>
                <w:color w:val="FFFFFF"/>
                <w:sz w:val="16"/>
              </w:rPr>
              <w:t>Stage</w:t>
            </w:r>
          </w:p>
        </w:tc>
        <w:tc>
          <w:tcPr>
            <w:tcW w:type="dxa" w:w="7272"/>
            <w:shd w:fill="0B1736"/>
            <w:tcMar>
              <w:top w:w="55" w:type="dxa"/>
              <w:start w:w="65" w:type="dxa"/>
              <w:bottom w:w="55" w:type="dxa"/>
              <w:end w:w="65" w:type="dxa"/>
            </w:tcMar>
          </w:tcPr>
          <w:p>
            <w:r>
              <w:rPr>
                <w:b/>
                <w:color w:val="FFFFFF"/>
                <w:sz w:val="16"/>
              </w:rPr>
              <w:t>Chess interpretation</w:t>
            </w:r>
          </w:p>
        </w:tc>
      </w:tr>
      <w:tr>
        <w:trPr>
          <w:cantSplit/>
        </w:trPr>
        <w:tc>
          <w:tcPr>
            <w:tcW w:type="dxa" w:w="223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WHERE / support</w:t>
            </w:r>
          </w:p>
        </w:tc>
        <w:tc>
          <w:tcPr>
            <w:tcW w:type="dxa" w:w="727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Rays, jump targets, pawn attack/move supports, king neighborhood</w:t>
            </w:r>
          </w:p>
        </w:tc>
      </w:tr>
      <w:tr>
        <w:trPr>
          <w:cantSplit/>
        </w:trPr>
        <w:tc>
          <w:tcPr>
            <w:tcW w:type="dxa" w:w="223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MATCH / compatibility</w:t>
            </w:r>
          </w:p>
        </w:tc>
        <w:tc>
          <w:tcPr>
            <w:tcW w:type="dxa" w:w="727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Correct side, piece type, target occupancy and capture relationship</w:t>
            </w:r>
          </w:p>
        </w:tc>
      </w:tr>
      <w:tr>
        <w:trPr>
          <w:cantSplit/>
        </w:trPr>
        <w:tc>
          <w:tcPr>
            <w:tcW w:type="dxa" w:w="223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READY / special guards</w:t>
            </w:r>
          </w:p>
        </w:tc>
        <w:tc>
          <w:tcPr>
            <w:tcW w:type="dxa" w:w="727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Promotion choice, castling rights/path, legal en-passant right</w:t>
            </w:r>
          </w:p>
        </w:tc>
      </w:tr>
      <w:tr>
        <w:trPr>
          <w:cantSplit/>
        </w:trPr>
        <w:tc>
          <w:tcPr>
            <w:tcW w:type="dxa" w:w="223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CHECKED / verified event</w:t>
            </w:r>
          </w:p>
        </w:tc>
        <w:tc>
          <w:tcPr>
            <w:tcW w:type="dxa" w:w="727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Move leaves own king safe; terminal classification follows the new state</w:t>
            </w:r>
          </w:p>
        </w:tc>
      </w:tr>
      <w:tr>
        <w:trPr>
          <w:cantSplit/>
        </w:trPr>
        <w:tc>
          <w:tcPr>
            <w:tcW w:type="dxa" w:w="223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CHANGE / transition</w:t>
            </w:r>
          </w:p>
        </w:tc>
        <w:tc>
          <w:tcPr>
            <w:tcW w:type="dxa" w:w="727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One immutable patch updates board, side, rights, en-passant and clocks</w:t>
            </w:r>
          </w:p>
        </w:tc>
      </w:tr>
      <w:tr>
        <w:trPr>
          <w:cantSplit/>
        </w:trPr>
        <w:tc>
          <w:tcPr>
            <w:tcW w:type="dxa" w:w="223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REMEMBER / lineage</w:t>
            </w:r>
          </w:p>
        </w:tc>
        <w:tc>
          <w:tcPr>
            <w:tcW w:type="dxa" w:w="727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Exact repetition counts, state hashes, move event and replay order</w:t>
            </w:r>
          </w:p>
        </w:tc>
      </w:tr>
    </w:tbl>
    <w:tbl>
      <w:tblPr>
        <w:tblW w:type="auto" w:w="0"/>
        <w:jc w:val="center"/>
        <w:tblLayout w:type="fixed"/>
        <w:tblLook w:firstColumn="1" w:firstRow="1" w:lastColumn="0" w:lastRow="0" w:noHBand="0" w:noVBand="1" w:val="04A0"/>
      </w:tblPr>
      <w:tblGrid>
        <w:gridCol w:w="9978"/>
      </w:tblGrid>
      <w:tr>
        <w:trPr>
          <w:cantSplit/>
          <w:tblHeader/>
        </w:trPr>
        <w:tc>
          <w:tcPr>
            <w:tcW w:type="dxa" w:w="9720"/>
            <w:shd w:fill="FFF7E8"/>
            <w:tcBorders>
              <w:top w:val="single" w:sz="10" w:color="E0A819"/>
              <w:left w:val="single" w:sz="18" w:color="E0A819"/>
              <w:bottom w:val="single" w:sz="10" w:color="E0A819"/>
              <w:right w:val="single" w:sz="10" w:color="E0A819"/>
            </w:tcBorders>
            <w:tcMar>
              <w:top w:w="90" w:type="dxa"/>
              <w:start w:w="125" w:type="dxa"/>
              <w:bottom w:w="90" w:type="dxa"/>
              <w:end w:w="125" w:type="dxa"/>
            </w:tcMar>
          </w:tcPr>
          <w:p>
            <w:pPr>
              <w:spacing w:after="40"/>
            </w:pPr>
            <w:r>
              <w:rPr>
                <w:b/>
                <w:color w:val="E0A819"/>
                <w:sz w:val="18"/>
              </w:rPr>
              <w:t>NON-BYPASS RULE</w:t>
            </w:r>
          </w:p>
          <w:p>
            <w:pPr>
              <w:spacing w:after="0"/>
            </w:pPr>
            <w:r>
              <w:t>CPU search, CUDA kernels, a human interface, opening book, tablebase adapter or neural policy may order or propose actions. None may set an authoritative WDL value without the same legal and certificate checks.</w:t>
            </w:r>
          </w:p>
        </w:tc>
      </w:tr>
    </w:tbl>
    <w:p>
      <w:r>
        <w:br w:type="page"/>
      </w:r>
    </w:p>
    <w:p>
      <w:pPr>
        <w:pStyle w:val="Heading1"/>
      </w:pPr>
      <w:r>
        <w:t>5. Exact Position and History Identity</w:t>
      </w:r>
    </w:p>
    <w:p>
      <w:pPr>
        <w:pStyle w:val="SectionLead"/>
      </w:pPr>
      <w:r>
        <w:t>A board diagram is not enough to decide repetition, move-count claims or proof replay.</w:t>
      </w:r>
    </w:p>
    <w:p>
      <w:pPr>
        <w:spacing w:after="60"/>
        <w:jc w:val="center"/>
      </w:pPr>
      <w:r>
        <w:drawing>
          <wp:inline xmlns:a="http://schemas.openxmlformats.org/drawingml/2006/main" xmlns:pic="http://schemas.openxmlformats.org/drawingml/2006/picture">
            <wp:extent cx="6144768" cy="3090747"/>
            <wp:docPr id="5" name="Picture 5" descr="Position hash and game state hash fields" title="state_identity.png"/>
            <wp:cNvGraphicFramePr>
              <a:graphicFrameLocks noChangeAspect="1"/>
            </wp:cNvGraphicFramePr>
            <a:graphic>
              <a:graphicData uri="http://schemas.openxmlformats.org/drawingml/2006/picture">
                <pic:pic>
                  <pic:nvPicPr>
                    <pic:cNvPr id="0" name="state_identity.png"/>
                    <pic:cNvPicPr/>
                  </pic:nvPicPr>
                  <pic:blipFill>
                    <a:blip r:embed="rId15"/>
                    <a:stretch>
                      <a:fillRect/>
                    </a:stretch>
                  </pic:blipFill>
                  <pic:spPr>
                    <a:xfrm>
                      <a:off x="0" y="0"/>
                      <a:ext cx="6144768" cy="3090747"/>
                    </a:xfrm>
                    <a:prstGeom prst="rect"/>
                  </pic:spPr>
                </pic:pic>
              </a:graphicData>
            </a:graphic>
          </wp:inline>
        </w:drawing>
      </w:r>
    </w:p>
    <w:p>
      <w:pPr>
        <w:pStyle w:val="FigureCaption"/>
        <w:jc w:val="center"/>
      </w:pPr>
      <w:r>
        <w:rPr>
          <w:b/>
        </w:rPr>
        <w:t xml:space="preserve">Figure 4. </w:t>
      </w:r>
      <w:r>
        <w:t>The proof identity includes normalized rule state and exact repetition-count context.</w:t>
      </w:r>
    </w:p>
    <w:p>
      <w:pPr>
        <w:pStyle w:val="Heading2"/>
      </w:pPr>
      <w:r>
        <w:t>5.1 Authoritative state</w:t>
      </w:r>
    </w:p>
    <w:tbl>
      <w:tblPr>
        <w:tblW w:type="auto" w:w="0"/>
        <w:jc w:val="center"/>
        <w:tblLayout w:type="fixed"/>
        <w:tblLook w:firstColumn="1" w:firstRow="1" w:lastColumn="0" w:lastRow="0" w:noHBand="0" w:noVBand="1" w:val="04A0"/>
      </w:tblPr>
      <w:tblGrid>
        <w:gridCol w:w="9978"/>
      </w:tblGrid>
      <w:tr>
        <w:trPr>
          <w:cantSplit/>
          <w:tblHeader/>
        </w:trPr>
        <w:tc>
          <w:tcPr>
            <w:tcW w:type="dxa" w:w="9720"/>
            <w:shd w:fill="111C35"/>
            <w:tcBorders>
              <w:top w:val="single" w:sz="6" w:color="111C35"/>
              <w:left w:val="single" w:sz="6" w:color="111C35"/>
              <w:bottom w:val="single" w:sz="6" w:color="111C35"/>
              <w:right w:val="single" w:sz="6" w:color="111C35"/>
            </w:tcBorders>
            <w:tcMar>
              <w:top w:w="90" w:type="dxa"/>
              <w:start w:w="120" w:type="dxa"/>
              <w:bottom w:w="90" w:type="dxa"/>
              <w:end w:w="120" w:type="dxa"/>
            </w:tcMar>
          </w:tcPr>
          <w:p>
            <w:pPr>
              <w:spacing w:after="0"/>
            </w:pPr>
            <w:r>
              <w:rPr>
                <w:rFonts w:ascii="Liberation Mono" w:hAnsi="Liberation Mono"/>
                <w:color w:val="EAF2FF"/>
                <w:sz w:val="15"/>
              </w:rPr>
              <w:t>Q = (board, side, castling rights, legal en-passant right,</w:t>
              <w:br/>
              <w:t xml:space="preserve">     halfmove clock, repetition-count context, rule profile, lineage)</w:t>
            </w:r>
          </w:p>
        </w:tc>
      </w:tr>
    </w:tbl>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2448"/>
            <w:shd w:fill="0B1736"/>
            <w:tcMar>
              <w:top w:w="55" w:type="dxa"/>
              <w:start w:w="65" w:type="dxa"/>
              <w:bottom w:w="55" w:type="dxa"/>
              <w:end w:w="65" w:type="dxa"/>
            </w:tcMar>
          </w:tcPr>
          <w:p>
            <w:r>
              <w:rPr>
                <w:b/>
                <w:color w:val="FFFFFF"/>
                <w:sz w:val="16"/>
              </w:rPr>
              <w:t>Identity</w:t>
            </w:r>
          </w:p>
        </w:tc>
        <w:tc>
          <w:tcPr>
            <w:tcW w:type="dxa" w:w="7056"/>
            <w:shd w:fill="0B1736"/>
            <w:tcMar>
              <w:top w:w="55" w:type="dxa"/>
              <w:start w:w="65" w:type="dxa"/>
              <w:bottom w:w="55" w:type="dxa"/>
              <w:end w:w="65" w:type="dxa"/>
            </w:tcMar>
          </w:tcPr>
          <w:p>
            <w:r>
              <w:rPr>
                <w:b/>
                <w:color w:val="FFFFFF"/>
                <w:sz w:val="16"/>
              </w:rPr>
              <w:t>Role</w:t>
            </w:r>
          </w:p>
        </w:tc>
      </w:tr>
      <w:tr>
        <w:trPr>
          <w:cantSplit/>
        </w:trPr>
        <w:tc>
          <w:tcPr>
            <w:tcW w:type="dxa" w:w="244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Position SHA-256</w:t>
            </w:r>
          </w:p>
        </w:tc>
        <w:tc>
          <w:tcPr>
            <w:tcW w:type="dxa" w:w="705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Exact FEN-level transport identity including fullmove metadata</w:t>
            </w:r>
          </w:p>
        </w:tc>
      </w:tr>
      <w:tr>
        <w:trPr>
          <w:cantSplit/>
        </w:trPr>
        <w:tc>
          <w:tcPr>
            <w:tcW w:type="dxa" w:w="244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Game-state SHA-256</w:t>
            </w:r>
          </w:p>
        </w:tc>
        <w:tc>
          <w:tcPr>
            <w:tcW w:type="dxa" w:w="705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Rule-semantic position plus capped halfmove clock, sorted exact repetition counts and profile ID</w:t>
            </w:r>
          </w:p>
        </w:tc>
      </w:tr>
      <w:tr>
        <w:trPr>
          <w:cantSplit/>
        </w:trPr>
        <w:tc>
          <w:tcPr>
            <w:tcW w:type="dxa" w:w="244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64-bit cache key</w:t>
            </w:r>
          </w:p>
        </w:tc>
        <w:tc>
          <w:tcPr>
            <w:tcW w:type="dxa" w:w="705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Permitted only as a fast index; full record must be compared before proof use</w:t>
            </w:r>
          </w:p>
        </w:tc>
      </w:tr>
      <w:tr>
        <w:trPr>
          <w:cantSplit/>
        </w:trPr>
        <w:tc>
          <w:tcPr>
            <w:tcW w:type="dxa" w:w="244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Lineage hash</w:t>
            </w:r>
          </w:p>
        </w:tc>
        <w:tc>
          <w:tcPr>
            <w:tcW w:type="dxa" w:w="705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Ordered event evidence; not interchangeable with current-state identity</w:t>
            </w:r>
          </w:p>
        </w:tc>
      </w:tr>
    </w:tbl>
    <w:p>
      <w:pPr>
        <w:pStyle w:val="SourceNote"/>
      </w:pPr>
      <w:r>
        <w:rPr>
          <w:b/>
        </w:rPr>
        <w:t xml:space="preserve">Grounding: </w:t>
      </w:r>
      <w:r>
        <w:t>This preserves the recurrent UGTS distinction between coordinates, identity and lineage. SCLP finite keys are indexes, not complete worlds.</w:t>
      </w:r>
    </w:p>
    <w:p>
      <w:r>
        <w:br w:type="page"/>
      </w:r>
    </w:p>
    <w:p>
      <w:pPr>
        <w:pStyle w:val="Heading1"/>
      </w:pPr>
      <w:r>
        <w:t>6. Repetition, Move Counts and Draw Strategy</w:t>
      </w:r>
    </w:p>
    <w:p>
      <w:pPr>
        <w:pStyle w:val="SectionLead"/>
      </w:pPr>
      <w:r>
        <w:t>A claim opportunity changes available actions but need not end a winning line.</w:t>
      </w:r>
    </w:p>
    <w:p>
      <w:pPr>
        <w:pStyle w:val="Heading2"/>
      </w:pPr>
      <w:r>
        <w:t>6.1 Exact action semantics</w:t>
      </w:r>
    </w:p>
    <w:tbl>
      <w:tblPr>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2232"/>
            <w:shd w:fill="0B1736"/>
            <w:tcMar>
              <w:top w:w="55" w:type="dxa"/>
              <w:start w:w="65" w:type="dxa"/>
              <w:bottom w:w="55" w:type="dxa"/>
              <w:end w:w="65" w:type="dxa"/>
            </w:tcMar>
          </w:tcPr>
          <w:p>
            <w:r>
              <w:rPr>
                <w:b/>
                <w:color w:val="FFFFFF"/>
                <w:sz w:val="15"/>
              </w:rPr>
              <w:t>Condition</w:t>
            </w:r>
          </w:p>
        </w:tc>
        <w:tc>
          <w:tcPr>
            <w:tcW w:type="dxa" w:w="3240"/>
            <w:shd w:fill="0B1736"/>
            <w:tcMar>
              <w:top w:w="55" w:type="dxa"/>
              <w:start w:w="65" w:type="dxa"/>
              <w:bottom w:w="55" w:type="dxa"/>
              <w:end w:w="65" w:type="dxa"/>
            </w:tcMar>
          </w:tcPr>
          <w:p>
            <w:r>
              <w:rPr>
                <w:b/>
                <w:color w:val="FFFFFF"/>
                <w:sz w:val="15"/>
              </w:rPr>
              <w:t>Record code</w:t>
            </w:r>
          </w:p>
        </w:tc>
        <w:tc>
          <w:tcPr>
            <w:tcW w:type="dxa" w:w="4032"/>
            <w:shd w:fill="0B1736"/>
            <w:tcMar>
              <w:top w:w="55" w:type="dxa"/>
              <w:start w:w="65" w:type="dxa"/>
              <w:bottom w:w="55" w:type="dxa"/>
              <w:end w:w="65" w:type="dxa"/>
            </w:tcMar>
          </w:tcPr>
          <w:p>
            <w:r>
              <w:rPr>
                <w:b/>
                <w:color w:val="FFFFFF"/>
                <w:sz w:val="15"/>
              </w:rPr>
              <w:t>Game-theoretic treatment</w:t>
            </w:r>
          </w:p>
        </w:tc>
      </w:tr>
      <w:tr>
        <w:trPr>
          <w:cantSplit/>
        </w:trPr>
        <w:tc>
          <w:tcPr>
            <w:tcW w:type="dxa" w:w="223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Threefold now</w:t>
            </w:r>
          </w:p>
        </w:tc>
        <w:tc>
          <w:tcPr>
            <w:tcW w:type="dxa" w:w="324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claim_threefold_current</w:t>
            </w:r>
          </w:p>
        </w:tc>
        <w:tc>
          <w:tcPr>
            <w:tcW w:type="dxa" w:w="403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Player may take DRAW or continue</w:t>
            </w:r>
          </w:p>
        </w:tc>
      </w:tr>
      <w:tr>
        <w:trPr>
          <w:cantSplit/>
        </w:trPr>
        <w:tc>
          <w:tcPr>
            <w:tcW w:type="dxa" w:w="223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50 moves now</w:t>
            </w:r>
          </w:p>
        </w:tc>
        <w:tc>
          <w:tcPr>
            <w:tcW w:type="dxa" w:w="324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claim_fifty_move_current</w:t>
            </w:r>
          </w:p>
        </w:tc>
        <w:tc>
          <w:tcPr>
            <w:tcW w:type="dxa" w:w="403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Player may take DRAW or continue</w:t>
            </w:r>
          </w:p>
        </w:tc>
      </w:tr>
      <w:tr>
        <w:trPr>
          <w:cantSplit/>
        </w:trPr>
        <w:tc>
          <w:tcPr>
            <w:tcW w:type="dxa" w:w="223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Third repetition by move</w:t>
            </w:r>
          </w:p>
        </w:tc>
        <w:tc>
          <w:tcPr>
            <w:tcW w:type="dxa" w:w="324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claim_threefold_by_move</w:t>
            </w:r>
          </w:p>
        </w:tc>
        <w:tc>
          <w:tcPr>
            <w:tcW w:type="dxa" w:w="403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Claim is attached to the declared legal move</w:t>
            </w:r>
          </w:p>
        </w:tc>
      </w:tr>
      <w:tr>
        <w:trPr>
          <w:cantSplit/>
        </w:trPr>
        <w:tc>
          <w:tcPr>
            <w:tcW w:type="dxa" w:w="223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50 moves by move</w:t>
            </w:r>
          </w:p>
        </w:tc>
        <w:tc>
          <w:tcPr>
            <w:tcW w:type="dxa" w:w="324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claim_fifty_move_by_move</w:t>
            </w:r>
          </w:p>
        </w:tc>
        <w:tc>
          <w:tcPr>
            <w:tcW w:type="dxa" w:w="403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Claim is attached to the declared legal move</w:t>
            </w:r>
          </w:p>
        </w:tc>
      </w:tr>
      <w:tr>
        <w:trPr>
          <w:cantSplit/>
        </w:trPr>
        <w:tc>
          <w:tcPr>
            <w:tcW w:type="dxa" w:w="223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Fivefold</w:t>
            </w:r>
          </w:p>
        </w:tc>
        <w:tc>
          <w:tcPr>
            <w:tcW w:type="dxa" w:w="324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fivefold_repetition</w:t>
            </w:r>
          </w:p>
        </w:tc>
        <w:tc>
          <w:tcPr>
            <w:tcW w:type="dxa" w:w="403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Forced DRAW terminal</w:t>
            </w:r>
          </w:p>
        </w:tc>
      </w:tr>
      <w:tr>
        <w:trPr>
          <w:cantSplit/>
        </w:trPr>
        <w:tc>
          <w:tcPr>
            <w:tcW w:type="dxa" w:w="223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75 moves</w:t>
            </w:r>
          </w:p>
        </w:tc>
        <w:tc>
          <w:tcPr>
            <w:tcW w:type="dxa" w:w="324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seventy_five_move</w:t>
            </w:r>
          </w:p>
        </w:tc>
        <w:tc>
          <w:tcPr>
            <w:tcW w:type="dxa" w:w="403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Forced DRAW terminal after checkmate test</w:t>
            </w:r>
          </w:p>
        </w:tc>
      </w:tr>
    </w:tbl>
    <w:p>
      <w:pPr>
        <w:pStyle w:val="Heading2"/>
      </w:pPr>
      <w:r>
        <w:t>6.2 Repetition identity</w:t>
      </w:r>
    </w:p>
    <w:p>
      <w:pPr>
        <w:pStyle w:val="Bullet"/>
        <w:spacing w:after="60"/>
        <w:ind w:left="346" w:hanging="216"/>
      </w:pPr>
      <w:r>
        <w:rPr>
          <w:b/>
          <w:color w:val="2AA876"/>
        </w:rPr>
        <w:t xml:space="preserve">• </w:t>
      </w:r>
      <w:r>
        <w:t>Board occupancy, side to move and castling rights must match.</w:t>
      </w:r>
    </w:p>
    <w:p>
      <w:pPr>
        <w:pStyle w:val="Bullet"/>
        <w:spacing w:after="60"/>
        <w:ind w:left="346" w:hanging="216"/>
      </w:pPr>
      <w:r>
        <w:rPr>
          <w:b/>
          <w:color w:val="2AA876"/>
        </w:rPr>
        <w:t xml:space="preserve">• </w:t>
      </w:r>
      <w:r>
        <w:t>An en-passant square contributes only when an en-passant capture is actually legal; a merely printed target is normalized away.</w:t>
      </w:r>
    </w:p>
    <w:p>
      <w:pPr>
        <w:pStyle w:val="Bullet"/>
        <w:spacing w:after="60"/>
        <w:ind w:left="346" w:hanging="216"/>
      </w:pPr>
      <w:r>
        <w:rPr>
          <w:b/>
          <w:color w:val="2AA876"/>
        </w:rPr>
        <w:t xml:space="preserve">• </w:t>
      </w:r>
      <w:r>
        <w:t>Exact occurrence counts are stored as sorted SHA-256 identity/count pairs. A rolling checksum alone is insufficient.</w:t>
      </w:r>
    </w:p>
    <w:p>
      <w:pPr>
        <w:pStyle w:val="Bullet"/>
        <w:spacing w:after="60"/>
        <w:ind w:left="346" w:hanging="216"/>
      </w:pPr>
      <w:r>
        <w:rPr>
          <w:b/>
          <w:color w:val="2AA876"/>
        </w:rPr>
        <w:t xml:space="preserve">• </w:t>
      </w:r>
      <w:r>
        <w:t>Fullmove number is replay metadata and does not change legal action or terminal rules; the semantic proof hash excludes it.</w:t>
      </w:r>
    </w:p>
    <w:tbl>
      <w:tblPr>
        <w:tblW w:type="auto" w:w="0"/>
        <w:jc w:val="center"/>
        <w:tblLayout w:type="fixed"/>
        <w:tblLook w:firstColumn="1" w:firstRow="1" w:lastColumn="0" w:lastRow="0" w:noHBand="0" w:noVBand="1" w:val="04A0"/>
      </w:tblPr>
      <w:tblGrid>
        <w:gridCol w:w="9978"/>
      </w:tblGrid>
      <w:tr>
        <w:trPr>
          <w:cantSplit/>
          <w:tblHeader/>
        </w:trPr>
        <w:tc>
          <w:tcPr>
            <w:tcW w:type="dxa" w:w="9720"/>
            <w:shd w:fill="EAF8F2"/>
            <w:tcBorders>
              <w:top w:val="single" w:sz="10" w:color="2AA876"/>
              <w:left w:val="single" w:sz="18" w:color="2AA876"/>
              <w:bottom w:val="single" w:sz="10" w:color="2AA876"/>
              <w:right w:val="single" w:sz="10" w:color="2AA876"/>
            </w:tcBorders>
            <w:tcMar>
              <w:top w:w="90" w:type="dxa"/>
              <w:start w:w="125" w:type="dxa"/>
              <w:bottom w:w="90" w:type="dxa"/>
              <w:end w:w="125" w:type="dxa"/>
            </w:tcMar>
          </w:tcPr>
          <w:p>
            <w:pPr>
              <w:spacing w:after="40"/>
            </w:pPr>
            <w:r>
              <w:rPr>
                <w:b/>
                <w:color w:val="2AA876"/>
                <w:sz w:val="18"/>
              </w:rPr>
              <w:t>STRATEGIC CONSEQUENCE</w:t>
            </w:r>
          </w:p>
          <w:p>
            <w:pPr>
              <w:spacing w:after="0"/>
            </w:pPr>
            <w:r>
              <w:t>At halfmove 100, a player may already claim a draw. If the same position also contains checkmate in one, WIN remains exact because the player can choose the winning move instead of the optional draw action.</w:t>
            </w:r>
          </w:p>
        </w:tc>
      </w:tr>
    </w:tbl>
    <w:p>
      <w:r>
        <w:br w:type="page"/>
      </w:r>
    </w:p>
    <w:p>
      <w:pPr>
        <w:pStyle w:val="Heading1"/>
      </w:pPr>
      <w:r>
        <w:t>7. Four-Valued WDL Proof Calculus</w:t>
      </w:r>
    </w:p>
    <w:p>
      <w:pPr>
        <w:pStyle w:val="SectionLead"/>
      </w:pPr>
      <w:r>
        <w:t>WIN, LOSS and DRAW are proof claims; UNKNOWN is the safe incomplete value.</w:t>
      </w:r>
    </w:p>
    <w:p>
      <w:pPr>
        <w:spacing w:after="60"/>
        <w:jc w:val="center"/>
      </w:pPr>
      <w:r>
        <w:drawing>
          <wp:inline xmlns:a="http://schemas.openxmlformats.org/drawingml/2006/main" xmlns:pic="http://schemas.openxmlformats.org/drawingml/2006/picture">
            <wp:extent cx="6144768" cy="3090747"/>
            <wp:docPr id="6" name="Picture 6" descr="Four-valued WDL proof rules" title="wdl_calculus.png"/>
            <wp:cNvGraphicFramePr>
              <a:graphicFrameLocks noChangeAspect="1"/>
            </wp:cNvGraphicFramePr>
            <a:graphic>
              <a:graphicData uri="http://schemas.openxmlformats.org/drawingml/2006/picture">
                <pic:pic>
                  <pic:nvPicPr>
                    <pic:cNvPr id="0" name="wdl_calculus.png"/>
                    <pic:cNvPicPr/>
                  </pic:nvPicPr>
                  <pic:blipFill>
                    <a:blip r:embed="rId16"/>
                    <a:stretch>
                      <a:fillRect/>
                    </a:stretch>
                  </pic:blipFill>
                  <pic:spPr>
                    <a:xfrm>
                      <a:off x="0" y="0"/>
                      <a:ext cx="6144768" cy="3090747"/>
                    </a:xfrm>
                    <a:prstGeom prst="rect"/>
                  </pic:spPr>
                </pic:pic>
              </a:graphicData>
            </a:graphic>
          </wp:inline>
        </w:drawing>
      </w:r>
    </w:p>
    <w:p>
      <w:pPr>
        <w:pStyle w:val="FigureCaption"/>
        <w:jc w:val="center"/>
      </w:pPr>
      <w:r>
        <w:rPr>
          <w:b/>
        </w:rPr>
        <w:t xml:space="preserve">Figure 5. </w:t>
      </w:r>
      <w:r>
        <w:t>Values are from the side-to-move perspective. Child values are inverted when interpreted by the parent.</w:t>
      </w:r>
    </w:p>
    <w:p>
      <w:pPr>
        <w:pStyle w:val="Heading2"/>
      </w:pPr>
      <w:r>
        <w:t>7.1 Quantified obligations</w:t>
      </w:r>
    </w:p>
    <w:tbl>
      <w:tblPr>
        <w:tblW w:type="auto" w:w="0"/>
        <w:jc w:val="center"/>
        <w:tblLayout w:type="fixed"/>
        <w:tblLook w:firstColumn="1" w:firstRow="1" w:lastColumn="0" w:lastRow="0" w:noHBand="0" w:noVBand="1" w:val="04A0"/>
      </w:tblPr>
      <w:tblGrid>
        <w:gridCol w:w="9978"/>
      </w:tblGrid>
      <w:tr>
        <w:trPr>
          <w:cantSplit/>
          <w:tblHeader/>
        </w:trPr>
        <w:tc>
          <w:tcPr>
            <w:tcW w:type="dxa" w:w="9720"/>
            <w:shd w:fill="111C35"/>
            <w:tcBorders>
              <w:top w:val="single" w:sz="6" w:color="111C35"/>
              <w:left w:val="single" w:sz="6" w:color="111C35"/>
              <w:bottom w:val="single" w:sz="6" w:color="111C35"/>
              <w:right w:val="single" w:sz="6" w:color="111C35"/>
            </w:tcBorders>
            <w:tcMar>
              <w:top w:w="90" w:type="dxa"/>
              <w:start w:w="120" w:type="dxa"/>
              <w:bottom w:w="90" w:type="dxa"/>
              <w:end w:w="120" w:type="dxa"/>
            </w:tcMar>
          </w:tcPr>
          <w:p>
            <w:pPr>
              <w:spacing w:after="0"/>
            </w:pPr>
            <w:r>
              <w:rPr>
                <w:rFonts w:ascii="Liberation Mono" w:hAnsi="Liberation Mono"/>
                <w:color w:val="EAF2FF"/>
                <w:sz w:val="15"/>
              </w:rPr>
              <w:t>WIN(q)  := exists legal action a with exact LOSS(child(q,a))</w:t>
              <w:br/>
              <w:t>LOSS(q) := every legal action is covered and exact WIN(child(q,a))</w:t>
              <w:br/>
              <w:t>DRAW(q) := no winning action exists, coverage is complete, and a draw terminal/action/closed-complement certificate exists</w:t>
              <w:br/>
              <w:t>UNKNOWN := any required edge, history state, dead-position decision or checker obligation is open</w:t>
            </w:r>
          </w:p>
        </w:tc>
      </w:tr>
    </w:tbl>
    <w:tbl>
      <w:tblPr>
        <w:tblW w:type="auto" w:w="0"/>
        <w:jc w:val="center"/>
        <w:tblLayout w:type="fixed"/>
        <w:tblLook w:firstColumn="1" w:firstRow="1" w:lastColumn="0" w:lastRow="0" w:noHBand="0" w:noVBand="1" w:val="04A0"/>
      </w:tblPr>
      <w:tblGrid>
        <w:gridCol w:w="9978"/>
      </w:tblGrid>
      <w:tr>
        <w:trPr>
          <w:cantSplit/>
          <w:tblHeader/>
        </w:trPr>
        <w:tc>
          <w:tcPr>
            <w:tcW w:type="dxa" w:w="9720"/>
            <w:shd w:fill="FFF4F2"/>
            <w:tcBorders>
              <w:top w:val="single" w:sz="10" w:color="C94C4C"/>
              <w:left w:val="single" w:sz="18" w:color="C94C4C"/>
              <w:bottom w:val="single" w:sz="10" w:color="C94C4C"/>
              <w:right w:val="single" w:sz="10" w:color="C94C4C"/>
            </w:tcBorders>
            <w:tcMar>
              <w:top w:w="90" w:type="dxa"/>
              <w:start w:w="125" w:type="dxa"/>
              <w:bottom w:w="90" w:type="dxa"/>
              <w:end w:w="125" w:type="dxa"/>
            </w:tcMar>
          </w:tcPr>
          <w:p>
            <w:pPr>
              <w:spacing w:after="40"/>
            </w:pPr>
            <w:r>
              <w:rPr>
                <w:b/>
                <w:color w:val="C94C4C"/>
                <w:sz w:val="18"/>
              </w:rPr>
              <w:t>CUTOFF LAW</w:t>
            </w:r>
          </w:p>
          <w:p>
            <w:pPr>
              <w:spacing w:after="0"/>
            </w:pPr>
            <w:r>
              <w:t>A horizon, node budget, time limit, missing child or heuristic score is UNKNOWN. The solver never promotes 'no win found yet' to DRAW.</w:t>
            </w:r>
          </w:p>
        </w:tc>
      </w:tr>
    </w:tbl>
    <w:p>
      <w:pPr>
        <w:pStyle w:val="SourceNote"/>
      </w:pPr>
      <w:r>
        <w:rPr>
          <w:b/>
        </w:rPr>
        <w:t xml:space="preserve">Grounding: </w:t>
      </w:r>
      <w:r>
        <w:t>The fixed-point structure follows the bounded exact-solving precedent in UGTS-KC 4.2 Go and the order/certification discipline in the General Operator and Order Addendum.</w:t>
      </w:r>
    </w:p>
    <w:p>
      <w:r>
        <w:br w:type="page"/>
      </w:r>
    </w:p>
    <w:p>
      <w:pPr>
        <w:pStyle w:val="Heading1"/>
      </w:pPr>
      <w:r>
        <w:t>8. Content-Addressed Certificates and Independent Promotion</w:t>
      </w:r>
    </w:p>
    <w:p>
      <w:pPr>
        <w:pStyle w:val="SectionLead"/>
      </w:pPr>
      <w:r>
        <w:t>A worker result is evidence only after a separate checker validates quantified coverage.</w:t>
      </w:r>
    </w:p>
    <w:p>
      <w:pPr>
        <w:spacing w:after="60"/>
        <w:jc w:val="center"/>
      </w:pPr>
      <w:r>
        <w:drawing>
          <wp:inline xmlns:a="http://schemas.openxmlformats.org/drawingml/2006/main" xmlns:pic="http://schemas.openxmlformats.org/drawingml/2006/picture">
            <wp:extent cx="6144768" cy="2921470"/>
            <wp:docPr id="7" name="Picture 7" descr="Worker candidate checker campaign promotion flow" title="certificate_flow.png"/>
            <wp:cNvGraphicFramePr>
              <a:graphicFrameLocks noChangeAspect="1"/>
            </wp:cNvGraphicFramePr>
            <a:graphic>
              <a:graphicData uri="http://schemas.openxmlformats.org/drawingml/2006/picture">
                <pic:pic>
                  <pic:nvPicPr>
                    <pic:cNvPr id="0" name="certificate_flow.png"/>
                    <pic:cNvPicPr/>
                  </pic:nvPicPr>
                  <pic:blipFill>
                    <a:blip r:embed="rId17"/>
                    <a:stretch>
                      <a:fillRect/>
                    </a:stretch>
                  </pic:blipFill>
                  <pic:spPr>
                    <a:xfrm>
                      <a:off x="0" y="0"/>
                      <a:ext cx="6144768" cy="2921470"/>
                    </a:xfrm>
                    <a:prstGeom prst="rect"/>
                  </pic:spPr>
                </pic:pic>
              </a:graphicData>
            </a:graphic>
          </wp:inline>
        </w:drawing>
      </w:r>
    </w:p>
    <w:p>
      <w:pPr>
        <w:pStyle w:val="FigureCaption"/>
        <w:jc w:val="center"/>
      </w:pPr>
      <w:r>
        <w:rPr>
          <w:b/>
        </w:rPr>
        <w:t xml:space="preserve">Figure 6. </w:t>
      </w:r>
      <w:r>
        <w:t>A certificate path and a checker record are both bound into campaign lineage.</w:t>
      </w:r>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2088"/>
            <w:shd w:fill="0B1736"/>
            <w:tcMar>
              <w:top w:w="55" w:type="dxa"/>
              <w:start w:w="65" w:type="dxa"/>
              <w:bottom w:w="55" w:type="dxa"/>
              <w:end w:w="65" w:type="dxa"/>
            </w:tcMar>
          </w:tcPr>
          <w:p>
            <w:r>
              <w:rPr>
                <w:b/>
                <w:color w:val="FFFFFF"/>
                <w:sz w:val="15"/>
              </w:rPr>
              <w:t>Record</w:t>
            </w:r>
          </w:p>
        </w:tc>
        <w:tc>
          <w:tcPr>
            <w:tcW w:type="dxa" w:w="7416"/>
            <w:shd w:fill="0B1736"/>
            <w:tcMar>
              <w:top w:w="55" w:type="dxa"/>
              <w:start w:w="65" w:type="dxa"/>
              <w:bottom w:w="55" w:type="dxa"/>
              <w:end w:w="65" w:type="dxa"/>
            </w:tcMar>
          </w:tcPr>
          <w:p>
            <w:r>
              <w:rPr>
                <w:b/>
                <w:color w:val="FFFFFF"/>
                <w:sz w:val="15"/>
              </w:rPr>
              <w:t>Required content</w:t>
            </w:r>
          </w:p>
        </w:tc>
      </w:tr>
      <w:tr>
        <w:trPr>
          <w:cantSplit/>
        </w:trPr>
        <w:tc>
          <w:tcPr>
            <w:tcW w:type="dxa" w:w="208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Node identity</w:t>
            </w:r>
          </w:p>
        </w:tc>
        <w:tc>
          <w:tcPr>
            <w:tcW w:type="dxa" w:w="741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Game-state SHA-256, FEN, history counts, remaining depth and rule profile</w:t>
            </w:r>
          </w:p>
        </w:tc>
      </w:tr>
      <w:tr>
        <w:trPr>
          <w:cantSplit/>
        </w:trPr>
        <w:tc>
          <w:tcPr>
            <w:tcW w:type="dxa" w:w="208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Child obligation</w:t>
            </w:r>
          </w:p>
        </w:tc>
        <w:tc>
          <w:tcPr>
            <w:tcW w:type="dxa" w:w="741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Action kind, UCI/SAN or claim code, child state hash, child value and child certificate hash</w:t>
            </w:r>
          </w:p>
        </w:tc>
      </w:tr>
      <w:tr>
        <w:trPr>
          <w:cantSplit/>
        </w:trPr>
        <w:tc>
          <w:tcPr>
            <w:tcW w:type="dxa" w:w="208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Coverage</w:t>
            </w:r>
          </w:p>
        </w:tc>
        <w:tc>
          <w:tcPr>
            <w:tcW w:type="dxa" w:w="741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terminal, witness, complete or cutoff</w:t>
            </w:r>
          </w:p>
        </w:tc>
      </w:tr>
      <w:tr>
        <w:trPr>
          <w:cantSplit/>
        </w:trPr>
        <w:tc>
          <w:tcPr>
            <w:tcW w:type="dxa" w:w="208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Certificate hash</w:t>
            </w:r>
          </w:p>
        </w:tc>
        <w:tc>
          <w:tcPr>
            <w:tcW w:type="dxa" w:w="741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SHA-256 over canonical node content excluding the hash field itself</w:t>
            </w:r>
          </w:p>
        </w:tc>
      </w:tr>
      <w:tr>
        <w:trPr>
          <w:cantSplit/>
        </w:trPr>
        <w:tc>
          <w:tcPr>
            <w:tcW w:type="dxa" w:w="208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Checker record</w:t>
            </w:r>
          </w:p>
        </w:tc>
        <w:tc>
          <w:tcPr>
            <w:tcW w:type="dxa" w:w="741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Obligation ID, claimed WDL, certificate SHA-256, child game-state SHA-256 and valid=true</w:t>
            </w:r>
          </w:p>
        </w:tc>
      </w:tr>
      <w:tr>
        <w:trPr>
          <w:cantSplit/>
        </w:trPr>
        <w:tc>
          <w:tcPr>
            <w:tcW w:type="dxa" w:w="208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Promotion</w:t>
            </w:r>
          </w:p>
        </w:tc>
        <w:tc>
          <w:tcPr>
            <w:tcW w:type="dxa" w:w="741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Campaign job changes to verified only after checker fields and hashes match</w:t>
            </w:r>
          </w:p>
        </w:tc>
      </w:tr>
    </w:tbl>
    <w:tbl>
      <w:tblPr>
        <w:tblW w:type="auto" w:w="0"/>
        <w:jc w:val="center"/>
        <w:tblLayout w:type="fixed"/>
        <w:tblLook w:firstColumn="1" w:firstRow="1" w:lastColumn="0" w:lastRow="0" w:noHBand="0" w:noVBand="1" w:val="04A0"/>
      </w:tblPr>
      <w:tblGrid>
        <w:gridCol w:w="9978"/>
      </w:tblGrid>
      <w:tr>
        <w:trPr>
          <w:cantSplit/>
          <w:tblHeader/>
        </w:trPr>
        <w:tc>
          <w:tcPr>
            <w:tcW w:type="dxa" w:w="9720"/>
            <w:shd w:fill="F4F0FF"/>
            <w:tcBorders>
              <w:top w:val="single" w:sz="10" w:color="7357C5"/>
              <w:left w:val="single" w:sz="18" w:color="7357C5"/>
              <w:bottom w:val="single" w:sz="10" w:color="7357C5"/>
              <w:right w:val="single" w:sz="10" w:color="7357C5"/>
            </w:tcBorders>
            <w:tcMar>
              <w:top w:w="90" w:type="dxa"/>
              <w:start w:w="125" w:type="dxa"/>
              <w:bottom w:w="90" w:type="dxa"/>
              <w:end w:w="125" w:type="dxa"/>
            </w:tcMar>
          </w:tcPr>
          <w:p>
            <w:pPr>
              <w:spacing w:after="40"/>
            </w:pPr>
            <w:r>
              <w:rPr>
                <w:b/>
                <w:color w:val="7357C5"/>
                <w:sz w:val="18"/>
              </w:rPr>
              <w:t>INDEPENDENCE BOUNDARY</w:t>
            </w:r>
          </w:p>
          <w:p>
            <w:pPr>
              <w:spacing w:after="0"/>
            </w:pPr>
            <w:r>
              <w:t>The current reference checker runs in the same Python package but through a separate verification path and record. A production campaign should additionally diversify implementations, hosts and reviewers before treating a root certificate as durable evidence.</w:t>
            </w:r>
          </w:p>
        </w:tc>
      </w:tr>
    </w:tbl>
    <w:p>
      <w:r>
        <w:br w:type="page"/>
      </w:r>
    </w:p>
    <w:p>
      <w:pPr>
        <w:pStyle w:val="Heading1"/>
      </w:pPr>
      <w:r>
        <w:t>9. The Initial Position Becomes Twenty Root Obligations</w:t>
      </w:r>
    </w:p>
    <w:p>
      <w:pPr>
        <w:pStyle w:val="SectionLead"/>
      </w:pPr>
      <w:r>
        <w:t>The first exact decomposition is small, stable and independently leaseable.</w:t>
      </w:r>
    </w:p>
    <w:p>
      <w:pPr>
        <w:spacing w:after="60"/>
        <w:jc w:val="center"/>
      </w:pPr>
      <w:r>
        <w:drawing>
          <wp:inline xmlns:a="http://schemas.openxmlformats.org/drawingml/2006/main" xmlns:pic="http://schemas.openxmlformats.org/drawingml/2006/picture">
            <wp:extent cx="6144768" cy="3513283"/>
            <wp:docPr id="8" name="Picture 8" descr="Twenty classical initial chess moves as root proof obligations" title="root_obligations.png"/>
            <wp:cNvGraphicFramePr>
              <a:graphicFrameLocks noChangeAspect="1"/>
            </wp:cNvGraphicFramePr>
            <a:graphic>
              <a:graphicData uri="http://schemas.openxmlformats.org/drawingml/2006/picture">
                <pic:pic>
                  <pic:nvPicPr>
                    <pic:cNvPr id="0" name="root_obligations.png"/>
                    <pic:cNvPicPr/>
                  </pic:nvPicPr>
                  <pic:blipFill>
                    <a:blip r:embed="rId18"/>
                    <a:stretch>
                      <a:fillRect/>
                    </a:stretch>
                  </pic:blipFill>
                  <pic:spPr>
                    <a:xfrm>
                      <a:off x="0" y="0"/>
                      <a:ext cx="6144768" cy="3513283"/>
                    </a:xfrm>
                    <a:prstGeom prst="rect"/>
                  </pic:spPr>
                </pic:pic>
              </a:graphicData>
            </a:graphic>
          </wp:inline>
        </w:drawing>
      </w:r>
    </w:p>
    <w:p>
      <w:pPr>
        <w:pStyle w:val="FigureCaption"/>
        <w:jc w:val="center"/>
      </w:pPr>
      <w:r>
        <w:rPr>
          <w:b/>
        </w:rPr>
        <w:t xml:space="preserve">Figure 7. </w:t>
      </w:r>
      <w:r>
        <w:t>Every legal first move has a stable obligation ID, child state hashes and an exact depth-4 workload count.</w:t>
      </w:r>
    </w:p>
    <w:tbl>
      <w:tblPr>
        <w:tblW w:type="auto" w:w="0"/>
        <w:jc w:val="center"/>
        <w:tblLayout w:type="fixed"/>
        <w:tblLook w:firstColumn="1" w:firstRow="1" w:lastColumn="0" w:lastRow="0" w:noHBand="0" w:noVBand="1" w:val="04A0"/>
      </w:tblPr>
      <w:tblGrid>
        <w:gridCol w:w="2494"/>
        <w:gridCol w:w="2494"/>
        <w:gridCol w:w="2494"/>
        <w:gridCol w:w="2494"/>
      </w:tblGrid>
      <w:tr>
        <w:trPr>
          <w:tblHeader w:val="true"/>
          <w:cantSplit/>
        </w:trPr>
        <w:tc>
          <w:tcPr>
            <w:tcW w:type="dxa" w:w="3024"/>
            <w:shd w:fill="0B1736"/>
            <w:tcMar>
              <w:top w:w="55" w:type="dxa"/>
              <w:start w:w="65" w:type="dxa"/>
              <w:bottom w:w="55" w:type="dxa"/>
              <w:end w:w="65" w:type="dxa"/>
            </w:tcMar>
          </w:tcPr>
          <w:p>
            <w:r>
              <w:rPr>
                <w:b/>
                <w:color w:val="FFFFFF"/>
                <w:sz w:val="15"/>
              </w:rPr>
              <w:t>Largest shard</w:t>
            </w:r>
          </w:p>
        </w:tc>
        <w:tc>
          <w:tcPr>
            <w:tcW w:type="dxa" w:w="1152"/>
            <w:shd w:fill="0B1736"/>
            <w:tcMar>
              <w:top w:w="55" w:type="dxa"/>
              <w:start w:w="65" w:type="dxa"/>
              <w:bottom w:w="55" w:type="dxa"/>
              <w:end w:w="65" w:type="dxa"/>
            </w:tcMar>
          </w:tcPr>
          <w:p>
            <w:r>
              <w:rPr>
                <w:b/>
                <w:color w:val="FFFFFF"/>
                <w:sz w:val="15"/>
              </w:rPr>
              <w:t>Move</w:t>
            </w:r>
          </w:p>
        </w:tc>
        <w:tc>
          <w:tcPr>
            <w:tcW w:type="dxa" w:w="2088"/>
            <w:shd w:fill="0B1736"/>
            <w:tcMar>
              <w:top w:w="55" w:type="dxa"/>
              <w:start w:w="65" w:type="dxa"/>
              <w:bottom w:w="55" w:type="dxa"/>
              <w:end w:w="65" w:type="dxa"/>
            </w:tcMar>
          </w:tcPr>
          <w:p>
            <w:r>
              <w:rPr>
                <w:b/>
                <w:color w:val="FFFFFF"/>
                <w:sz w:val="15"/>
              </w:rPr>
              <w:t>Depth-4 leaf paths</w:t>
            </w:r>
          </w:p>
        </w:tc>
        <w:tc>
          <w:tcPr>
            <w:tcW w:type="dxa" w:w="3240"/>
            <w:shd w:fill="0B1736"/>
            <w:tcMar>
              <w:top w:w="55" w:type="dxa"/>
              <w:start w:w="65" w:type="dxa"/>
              <w:bottom w:w="55" w:type="dxa"/>
              <w:end w:w="65" w:type="dxa"/>
            </w:tcMar>
          </w:tcPr>
          <w:p>
            <w:r>
              <w:rPr>
                <w:b/>
                <w:color w:val="FFFFFF"/>
                <w:sz w:val="15"/>
              </w:rPr>
              <w:t>Captured WDL</w:t>
            </w:r>
          </w:p>
        </w:tc>
      </w:tr>
      <w:tr>
        <w:trPr>
          <w:cantSplit/>
        </w:trPr>
        <w:tc>
          <w:tcPr>
            <w:tcW w:type="dxa" w:w="302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root-12-e2e4</w:t>
            </w:r>
          </w:p>
        </w:tc>
        <w:tc>
          <w:tcPr>
            <w:tcW w:type="dxa" w:w="115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e2e4</w:t>
            </w:r>
          </w:p>
        </w:tc>
        <w:tc>
          <w:tcPr>
            <w:tcW w:type="dxa" w:w="208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13,160</w:t>
            </w:r>
          </w:p>
        </w:tc>
        <w:tc>
          <w:tcPr>
            <w:tcW w:type="dxa" w:w="324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UNKNOWN</w:t>
            </w:r>
          </w:p>
        </w:tc>
      </w:tr>
      <w:tr>
        <w:trPr>
          <w:cantSplit/>
        </w:trPr>
        <w:tc>
          <w:tcPr>
            <w:tcW w:type="dxa" w:w="302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root-11-e2e3</w:t>
            </w:r>
          </w:p>
        </w:tc>
        <w:tc>
          <w:tcPr>
            <w:tcW w:type="dxa" w:w="115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e2e3</w:t>
            </w:r>
          </w:p>
        </w:tc>
        <w:tc>
          <w:tcPr>
            <w:tcW w:type="dxa" w:w="208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13,134</w:t>
            </w:r>
          </w:p>
        </w:tc>
        <w:tc>
          <w:tcPr>
            <w:tcW w:type="dxa" w:w="324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UNKNOWN</w:t>
            </w:r>
          </w:p>
        </w:tc>
      </w:tr>
      <w:tr>
        <w:trPr>
          <w:cantSplit/>
        </w:trPr>
        <w:tc>
          <w:tcPr>
            <w:tcW w:type="dxa" w:w="302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root-10-d2d4</w:t>
            </w:r>
          </w:p>
        </w:tc>
        <w:tc>
          <w:tcPr>
            <w:tcW w:type="dxa" w:w="115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d2d4</w:t>
            </w:r>
          </w:p>
        </w:tc>
        <w:tc>
          <w:tcPr>
            <w:tcW w:type="dxa" w:w="208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12,435</w:t>
            </w:r>
          </w:p>
        </w:tc>
        <w:tc>
          <w:tcPr>
            <w:tcW w:type="dxa" w:w="324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UNKNOWN</w:t>
            </w:r>
          </w:p>
        </w:tc>
      </w:tr>
      <w:tr>
        <w:trPr>
          <w:cantSplit/>
        </w:trPr>
        <w:tc>
          <w:tcPr>
            <w:tcW w:type="dxa" w:w="302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root-09-d2d3</w:t>
            </w:r>
          </w:p>
        </w:tc>
        <w:tc>
          <w:tcPr>
            <w:tcW w:type="dxa" w:w="115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d2d3</w:t>
            </w:r>
          </w:p>
        </w:tc>
        <w:tc>
          <w:tcPr>
            <w:tcW w:type="dxa" w:w="208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11,959</w:t>
            </w:r>
          </w:p>
        </w:tc>
        <w:tc>
          <w:tcPr>
            <w:tcW w:type="dxa" w:w="324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UNKNOWN</w:t>
            </w:r>
          </w:p>
        </w:tc>
      </w:tr>
      <w:tr>
        <w:trPr>
          <w:cantSplit/>
        </w:trPr>
        <w:tc>
          <w:tcPr>
            <w:tcW w:type="dxa" w:w="302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root-04-b1c3</w:t>
            </w:r>
          </w:p>
        </w:tc>
        <w:tc>
          <w:tcPr>
            <w:tcW w:type="dxa" w:w="115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b1c3</w:t>
            </w:r>
          </w:p>
        </w:tc>
        <w:tc>
          <w:tcPr>
            <w:tcW w:type="dxa" w:w="208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9,755</w:t>
            </w:r>
          </w:p>
        </w:tc>
        <w:tc>
          <w:tcPr>
            <w:tcW w:type="dxa" w:w="324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UNKNOWN</w:t>
            </w:r>
          </w:p>
        </w:tc>
      </w:tr>
      <w:tr>
        <w:trPr>
          <w:cantSplit/>
        </w:trPr>
        <w:tc>
          <w:tcPr>
            <w:tcW w:type="dxa" w:w="302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root-15-g1f3</w:t>
            </w:r>
          </w:p>
        </w:tc>
        <w:tc>
          <w:tcPr>
            <w:tcW w:type="dxa" w:w="115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g1f3</w:t>
            </w:r>
          </w:p>
        </w:tc>
        <w:tc>
          <w:tcPr>
            <w:tcW w:type="dxa" w:w="208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9,748</w:t>
            </w:r>
          </w:p>
        </w:tc>
        <w:tc>
          <w:tcPr>
            <w:tcW w:type="dxa" w:w="324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UNKNOWN</w:t>
            </w:r>
          </w:p>
        </w:tc>
      </w:tr>
      <w:tr>
        <w:trPr>
          <w:cantSplit/>
        </w:trPr>
        <w:tc>
          <w:tcPr>
            <w:tcW w:type="dxa" w:w="302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root-08-c2c4</w:t>
            </w:r>
          </w:p>
        </w:tc>
        <w:tc>
          <w:tcPr>
            <w:tcW w:type="dxa" w:w="115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c2c4</w:t>
            </w:r>
          </w:p>
        </w:tc>
        <w:tc>
          <w:tcPr>
            <w:tcW w:type="dxa" w:w="208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9,744</w:t>
            </w:r>
          </w:p>
        </w:tc>
        <w:tc>
          <w:tcPr>
            <w:tcW w:type="dxa" w:w="324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UNKNOWN</w:t>
            </w:r>
          </w:p>
        </w:tc>
      </w:tr>
      <w:tr>
        <w:trPr>
          <w:cantSplit/>
        </w:trPr>
        <w:tc>
          <w:tcPr>
            <w:tcW w:type="dxa" w:w="302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root-05-b2b3</w:t>
            </w:r>
          </w:p>
        </w:tc>
        <w:tc>
          <w:tcPr>
            <w:tcW w:type="dxa" w:w="115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b2b3</w:t>
            </w:r>
          </w:p>
        </w:tc>
        <w:tc>
          <w:tcPr>
            <w:tcW w:type="dxa" w:w="208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9,345</w:t>
            </w:r>
          </w:p>
        </w:tc>
        <w:tc>
          <w:tcPr>
            <w:tcW w:type="dxa" w:w="324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UNKNOWN</w:t>
            </w:r>
          </w:p>
        </w:tc>
      </w:tr>
    </w:tbl>
    <w:tbl>
      <w:tblPr>
        <w:tblW w:type="auto" w:w="0"/>
        <w:jc w:val="center"/>
        <w:tblLayout w:type="fixed"/>
        <w:tblLook w:firstColumn="1" w:firstRow="1" w:lastColumn="0" w:lastRow="0" w:noHBand="0" w:noVBand="1" w:val="04A0"/>
      </w:tblPr>
      <w:tblGrid>
        <w:gridCol w:w="9978"/>
      </w:tblGrid>
      <w:tr>
        <w:trPr>
          <w:cantSplit/>
          <w:tblHeader/>
        </w:trPr>
        <w:tc>
          <w:tcPr>
            <w:tcW w:type="dxa" w:w="9720"/>
            <w:shd w:fill="EEF4FF"/>
            <w:tcBorders>
              <w:top w:val="single" w:sz="10" w:color="4568DC"/>
              <w:left w:val="single" w:sz="18" w:color="4568DC"/>
              <w:bottom w:val="single" w:sz="10" w:color="4568DC"/>
              <w:right w:val="single" w:sz="10" w:color="4568DC"/>
            </w:tcBorders>
            <w:tcMar>
              <w:top w:w="90" w:type="dxa"/>
              <w:start w:w="125" w:type="dxa"/>
              <w:bottom w:w="90" w:type="dxa"/>
              <w:end w:w="125" w:type="dxa"/>
            </w:tcMar>
          </w:tcPr>
          <w:p>
            <w:pPr>
              <w:spacing w:after="40"/>
            </w:pPr>
            <w:r>
              <w:rPr>
                <w:b/>
                <w:color w:val="4568DC"/>
                <w:sz w:val="18"/>
              </w:rPr>
              <w:t>EXACT FIRST CHECKPOINT</w:t>
            </w:r>
          </w:p>
          <w:p>
            <w:pPr>
              <w:spacing w:after="0"/>
            </w:pPr>
            <w:r>
              <w:t>The twenty shard workloads sum to 197,281, exactly matching standard initial-position perft depth 4. This checks the decomposition; it does not determine any child's full-game value.</w:t>
            </w:r>
          </w:p>
        </w:tc>
      </w:tr>
    </w:tbl>
    <w:p>
      <w:r>
        <w:br w:type="page"/>
      </w:r>
    </w:p>
    <w:p>
      <w:pPr>
        <w:pStyle w:val="Heading1"/>
      </w:pPr>
      <w:r>
        <w:t>10. Root Aggregation and Current Campaign Status</w:t>
      </w:r>
    </w:p>
    <w:p>
      <w:pPr>
        <w:pStyle w:val="SectionLead"/>
      </w:pPr>
      <w:r>
        <w:t>Only independently verified child values participate in the initial-position result.</w:t>
      </w:r>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2232"/>
            <w:shd w:fill="0B1736"/>
            <w:tcMar>
              <w:top w:w="55" w:type="dxa"/>
              <w:start w:w="65" w:type="dxa"/>
              <w:bottom w:w="55" w:type="dxa"/>
              <w:end w:w="65" w:type="dxa"/>
            </w:tcMar>
          </w:tcPr>
          <w:p>
            <w:r>
              <w:rPr>
                <w:b/>
                <w:color w:val="FFFFFF"/>
                <w:sz w:val="16"/>
              </w:rPr>
              <w:t>Root value</w:t>
            </w:r>
          </w:p>
        </w:tc>
        <w:tc>
          <w:tcPr>
            <w:tcW w:type="dxa" w:w="7272"/>
            <w:shd w:fill="0B1736"/>
            <w:tcMar>
              <w:top w:w="55" w:type="dxa"/>
              <w:start w:w="65" w:type="dxa"/>
              <w:bottom w:w="55" w:type="dxa"/>
              <w:end w:w="65" w:type="dxa"/>
            </w:tcMar>
          </w:tcPr>
          <w:p>
            <w:r>
              <w:rPr>
                <w:b/>
                <w:color w:val="FFFFFF"/>
                <w:sz w:val="16"/>
              </w:rPr>
              <w:t>Complete quantified rule</w:t>
            </w:r>
          </w:p>
        </w:tc>
      </w:tr>
      <w:tr>
        <w:trPr>
          <w:cantSplit/>
        </w:trPr>
        <w:tc>
          <w:tcPr>
            <w:tcW w:type="dxa" w:w="223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White root WIN</w:t>
            </w:r>
          </w:p>
        </w:tc>
        <w:tc>
          <w:tcPr>
            <w:tcW w:type="dxa" w:w="727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At least one verified child is LOSS for Black to move</w:t>
            </w:r>
          </w:p>
        </w:tc>
      </w:tr>
      <w:tr>
        <w:trPr>
          <w:cantSplit/>
        </w:trPr>
        <w:tc>
          <w:tcPr>
            <w:tcW w:type="dxa" w:w="223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White root LOSS</w:t>
            </w:r>
          </w:p>
        </w:tc>
        <w:tc>
          <w:tcPr>
            <w:tcW w:type="dxa" w:w="727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All twenty verified children are WIN for Black to move</w:t>
            </w:r>
          </w:p>
        </w:tc>
      </w:tr>
      <w:tr>
        <w:trPr>
          <w:cantSplit/>
        </w:trPr>
        <w:tc>
          <w:tcPr>
            <w:tcW w:type="dxa" w:w="223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White root DRAW</w:t>
            </w:r>
          </w:p>
        </w:tc>
        <w:tc>
          <w:tcPr>
            <w:tcW w:type="dxa" w:w="727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All twenty are resolved, none is LOSS for Black, and at least one is DRAW</w:t>
            </w:r>
          </w:p>
        </w:tc>
      </w:tr>
      <w:tr>
        <w:trPr>
          <w:cantSplit/>
        </w:trPr>
        <w:tc>
          <w:tcPr>
            <w:tcW w:type="dxa" w:w="223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White root UNKNOWN</w:t>
            </w:r>
          </w:p>
        </w:tc>
        <w:tc>
          <w:tcPr>
            <w:tcW w:type="dxa" w:w="727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Any required child is unverified or UNKNOWN, unless a verified LOSS child already proves WIN</w:t>
            </w:r>
          </w:p>
        </w:tc>
      </w:tr>
    </w:tbl>
    <w:p>
      <w:pPr>
        <w:pStyle w:val="Heading2"/>
      </w:pPr>
      <w:r>
        <w:t>10.1 Captured ledger state</w:t>
      </w:r>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3528"/>
            <w:shd w:fill="0B1736"/>
            <w:tcMar>
              <w:top w:w="55" w:type="dxa"/>
              <w:start w:w="65" w:type="dxa"/>
              <w:bottom w:w="55" w:type="dxa"/>
              <w:end w:w="65" w:type="dxa"/>
            </w:tcMar>
          </w:tcPr>
          <w:p>
            <w:r>
              <w:rPr>
                <w:b/>
                <w:color w:val="FFFFFF"/>
                <w:sz w:val="16"/>
              </w:rPr>
              <w:t>Metric</w:t>
            </w:r>
          </w:p>
        </w:tc>
        <w:tc>
          <w:tcPr>
            <w:tcW w:type="dxa" w:w="5976"/>
            <w:shd w:fill="0B1736"/>
            <w:tcMar>
              <w:top w:w="55" w:type="dxa"/>
              <w:start w:w="65" w:type="dxa"/>
              <w:bottom w:w="55" w:type="dxa"/>
              <w:end w:w="65" w:type="dxa"/>
            </w:tcMar>
          </w:tcPr>
          <w:p>
            <w:r>
              <w:rPr>
                <w:b/>
                <w:color w:val="FFFFFF"/>
                <w:sz w:val="16"/>
              </w:rPr>
              <w:t>Captured value</w:t>
            </w:r>
          </w:p>
        </w:tc>
      </w:tr>
      <w:tr>
        <w:trPr>
          <w:cantSplit/>
        </w:trPr>
        <w:tc>
          <w:tcPr>
            <w:tcW w:type="dxa" w:w="352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Root obligations</w:t>
            </w:r>
          </w:p>
        </w:tc>
        <w:tc>
          <w:tcPr>
            <w:tcW w:type="dxa" w:w="597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20</w:t>
            </w:r>
          </w:p>
        </w:tc>
      </w:tr>
      <w:tr>
        <w:trPr>
          <w:cantSplit/>
        </w:trPr>
        <w:tc>
          <w:tcPr>
            <w:tcW w:type="dxa" w:w="352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Verified child values</w:t>
            </w:r>
          </w:p>
        </w:tc>
        <w:tc>
          <w:tcPr>
            <w:tcW w:type="dxa" w:w="597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0</w:t>
            </w:r>
          </w:p>
        </w:tc>
      </w:tr>
      <w:tr>
        <w:trPr>
          <w:cantSplit/>
        </w:trPr>
        <w:tc>
          <w:tcPr>
            <w:tcW w:type="dxa" w:w="352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Root value</w:t>
            </w:r>
          </w:p>
        </w:tc>
        <w:tc>
          <w:tcPr>
            <w:tcW w:type="dxa" w:w="597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UNKNOWN</w:t>
            </w:r>
          </w:p>
        </w:tc>
      </w:tr>
      <w:tr>
        <w:trPr>
          <w:cantSplit/>
        </w:trPr>
        <w:tc>
          <w:tcPr>
            <w:tcW w:type="dxa" w:w="352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Event hash chain</w:t>
            </w:r>
          </w:p>
        </w:tc>
        <w:tc>
          <w:tcPr>
            <w:tcW w:type="dxa" w:w="597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valid</w:t>
            </w:r>
          </w:p>
        </w:tc>
      </w:tr>
      <w:tr>
        <w:trPr>
          <w:cantSplit/>
        </w:trPr>
        <w:tc>
          <w:tcPr>
            <w:tcW w:type="dxa" w:w="352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Depth-4 leaf-path checkpoint</w:t>
            </w:r>
          </w:p>
        </w:tc>
        <w:tc>
          <w:tcPr>
            <w:tcW w:type="dxa" w:w="597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197,281</w:t>
            </w:r>
          </w:p>
        </w:tc>
      </w:tr>
    </w:tbl>
    <w:tbl>
      <w:tblPr>
        <w:tblW w:type="auto" w:w="0"/>
        <w:jc w:val="center"/>
        <w:tblLayout w:type="fixed"/>
        <w:tblLook w:firstColumn="1" w:firstRow="1" w:lastColumn="0" w:lastRow="0" w:noHBand="0" w:noVBand="1" w:val="04A0"/>
      </w:tblPr>
      <w:tblGrid>
        <w:gridCol w:w="9978"/>
      </w:tblGrid>
      <w:tr>
        <w:trPr>
          <w:cantSplit/>
          <w:tblHeader/>
        </w:trPr>
        <w:tc>
          <w:tcPr>
            <w:tcW w:type="dxa" w:w="9720"/>
            <w:shd w:fill="111C35"/>
            <w:tcBorders>
              <w:top w:val="single" w:sz="6" w:color="111C35"/>
              <w:left w:val="single" w:sz="6" w:color="111C35"/>
              <w:bottom w:val="single" w:sz="6" w:color="111C35"/>
              <w:right w:val="single" w:sz="6" w:color="111C35"/>
            </w:tcBorders>
            <w:tcMar>
              <w:top w:w="90" w:type="dxa"/>
              <w:start w:w="120" w:type="dxa"/>
              <w:bottom w:w="90" w:type="dxa"/>
              <w:end w:w="120" w:type="dxa"/>
            </w:tcMar>
          </w:tcPr>
          <w:p>
            <w:pPr>
              <w:spacing w:after="0"/>
            </w:pPr>
            <w:r>
              <w:rPr>
                <w:rFonts w:ascii="Liberation Mono" w:hAnsi="Liberation Mono"/>
                <w:color w:val="EAF2FF"/>
                <w:sz w:val="15"/>
              </w:rPr>
              <w:t>child values are from the child side-to-move perspective</w:t>
              <w:br/>
              <w:t>one child LOSS -&gt; root WIN</w:t>
              <w:br/>
              <w:t>all children WIN -&gt; root LOSS</w:t>
              <w:br/>
              <w:t>resolved mix containing DRAW and no LOSS -&gt; root DRAW</w:t>
              <w:br/>
              <w:t>otherwise -&gt; root UNKNOWN</w:t>
            </w:r>
          </w:p>
        </w:tc>
      </w:tr>
    </w:tbl>
    <w:tbl>
      <w:tblPr>
        <w:tblW w:type="auto" w:w="0"/>
        <w:jc w:val="center"/>
        <w:tblLayout w:type="fixed"/>
        <w:tblLook w:firstColumn="1" w:firstRow="1" w:lastColumn="0" w:lastRow="0" w:noHBand="0" w:noVBand="1" w:val="04A0"/>
      </w:tblPr>
      <w:tblGrid>
        <w:gridCol w:w="9978"/>
      </w:tblGrid>
      <w:tr>
        <w:trPr>
          <w:cantSplit/>
          <w:tblHeader/>
        </w:trPr>
        <w:tc>
          <w:tcPr>
            <w:tcW w:type="dxa" w:w="9720"/>
            <w:shd w:fill="FFF4F2"/>
            <w:tcBorders>
              <w:top w:val="single" w:sz="10" w:color="C94C4C"/>
              <w:left w:val="single" w:sz="18" w:color="C94C4C"/>
              <w:bottom w:val="single" w:sz="10" w:color="C94C4C"/>
              <w:right w:val="single" w:sz="10" w:color="C94C4C"/>
            </w:tcBorders>
            <w:tcMar>
              <w:top w:w="90" w:type="dxa"/>
              <w:start w:w="125" w:type="dxa"/>
              <w:bottom w:w="90" w:type="dxa"/>
              <w:end w:w="125" w:type="dxa"/>
            </w:tcMar>
          </w:tcPr>
          <w:p>
            <w:pPr>
              <w:spacing w:after="40"/>
            </w:pPr>
            <w:r>
              <w:rPr>
                <w:b/>
                <w:color w:val="C94C4C"/>
                <w:sz w:val="18"/>
              </w:rPr>
              <w:t>CURRENT FORMAL RESULT</w:t>
            </w:r>
          </w:p>
          <w:p>
            <w:pPr>
              <w:spacing w:after="0"/>
            </w:pPr>
            <w:r>
              <w:t>The standard initial position is UNKNOWN in this package. No principal variation, engine score or opening preference is presented as a substitute.</w:t>
            </w:r>
          </w:p>
        </w:tc>
      </w:tr>
    </w:tbl>
    <w:p>
      <w:r>
        <w:br w:type="page"/>
      </w:r>
    </w:p>
    <w:p>
      <w:pPr>
        <w:pStyle w:val="Heading1"/>
      </w:pPr>
      <w:r>
        <w:t>11. Portable SQLite Proof Campaign</w:t>
      </w:r>
    </w:p>
    <w:p>
      <w:pPr>
        <w:pStyle w:val="SectionLead"/>
      </w:pPr>
      <w:r>
        <w:t>Coordination state is mutable; proof records and the event journal are content-addressed and auditable.</w:t>
      </w:r>
    </w:p>
    <w:p>
      <w:pPr>
        <w:spacing w:after="60"/>
        <w:jc w:val="center"/>
      </w:pPr>
      <w:r>
        <w:drawing>
          <wp:inline xmlns:a="http://schemas.openxmlformats.org/drawingml/2006/main" xmlns:pic="http://schemas.openxmlformats.org/drawingml/2006/picture">
            <wp:extent cx="6144768" cy="3090747"/>
            <wp:docPr id="9" name="Picture 9" descr="SQLite campaign tables and event hash chain" title="campaign_ledger.png"/>
            <wp:cNvGraphicFramePr>
              <a:graphicFrameLocks noChangeAspect="1"/>
            </wp:cNvGraphicFramePr>
            <a:graphic>
              <a:graphicData uri="http://schemas.openxmlformats.org/drawingml/2006/picture">
                <pic:pic>
                  <pic:nvPicPr>
                    <pic:cNvPr id="0" name="campaign_ledger.png"/>
                    <pic:cNvPicPr/>
                  </pic:nvPicPr>
                  <pic:blipFill>
                    <a:blip r:embed="rId19"/>
                    <a:stretch>
                      <a:fillRect/>
                    </a:stretch>
                  </pic:blipFill>
                  <pic:spPr>
                    <a:xfrm>
                      <a:off x="0" y="0"/>
                      <a:ext cx="6144768" cy="3090747"/>
                    </a:xfrm>
                    <a:prstGeom prst="rect"/>
                  </pic:spPr>
                </pic:pic>
              </a:graphicData>
            </a:graphic>
          </wp:inline>
        </w:drawing>
      </w:r>
    </w:p>
    <w:p>
      <w:pPr>
        <w:pStyle w:val="FigureCaption"/>
        <w:jc w:val="center"/>
      </w:pPr>
      <w:r>
        <w:rPr>
          <w:b/>
        </w:rPr>
        <w:t xml:space="preserve">Figure 8. </w:t>
      </w:r>
      <w:r>
        <w:t>Jobs, events and metadata are separated; path references are package-relative so the campaign remains portable.</w:t>
      </w:r>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1800"/>
            <w:shd w:fill="0B1736"/>
            <w:tcMar>
              <w:top w:w="55" w:type="dxa"/>
              <w:start w:w="65" w:type="dxa"/>
              <w:bottom w:w="55" w:type="dxa"/>
              <w:end w:w="65" w:type="dxa"/>
            </w:tcMar>
          </w:tcPr>
          <w:p>
            <w:r>
              <w:rPr>
                <w:b/>
                <w:color w:val="FFFFFF"/>
                <w:sz w:val="15"/>
              </w:rPr>
              <w:t>Element</w:t>
            </w:r>
          </w:p>
        </w:tc>
        <w:tc>
          <w:tcPr>
            <w:tcW w:type="dxa" w:w="7704"/>
            <w:shd w:fill="0B1736"/>
            <w:tcMar>
              <w:top w:w="55" w:type="dxa"/>
              <w:start w:w="65" w:type="dxa"/>
              <w:bottom w:w="55" w:type="dxa"/>
              <w:end w:w="65" w:type="dxa"/>
            </w:tcMar>
          </w:tcPr>
          <w:p>
            <w:r>
              <w:rPr>
                <w:b/>
                <w:color w:val="FFFFFF"/>
                <w:sz w:val="15"/>
              </w:rPr>
              <w:t>Contract</w:t>
            </w:r>
          </w:p>
        </w:tc>
      </w:tr>
      <w:tr>
        <w:trPr>
          <w:cantSplit/>
        </w:trPr>
        <w:tc>
          <w:tcPr>
            <w:tcW w:type="dxa" w:w="180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meta</w:t>
            </w:r>
          </w:p>
        </w:tc>
        <w:tc>
          <w:tcPr>
            <w:tcW w:type="dxa" w:w="770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Root FEN/hashes, rule profile, schema and initialization data</w:t>
            </w:r>
          </w:p>
        </w:tc>
      </w:tr>
      <w:tr>
        <w:trPr>
          <w:cantSplit/>
        </w:trPr>
        <w:tc>
          <w:tcPr>
            <w:tcW w:type="dxa" w:w="180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jobs</w:t>
            </w:r>
          </w:p>
        </w:tc>
        <w:tc>
          <w:tcPr>
            <w:tcW w:type="dxa" w:w="770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20 obligations, lease owner/expiry, attempts, candidate WDL, certificate and checker paths/hashes</w:t>
            </w:r>
          </w:p>
        </w:tc>
      </w:tr>
      <w:tr>
        <w:trPr>
          <w:cantSplit/>
        </w:trPr>
        <w:tc>
          <w:tcPr>
            <w:tcW w:type="dxa" w:w="180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events</w:t>
            </w:r>
          </w:p>
        </w:tc>
        <w:tc>
          <w:tcPr>
            <w:tcW w:type="dxa" w:w="770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Append-only sequence, canonical payload, previous hash and event hash</w:t>
            </w:r>
          </w:p>
        </w:tc>
      </w:tr>
      <w:tr>
        <w:trPr>
          <w:cantSplit/>
        </w:trPr>
        <w:tc>
          <w:tcPr>
            <w:tcW w:type="dxa" w:w="180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Lease</w:t>
            </w:r>
          </w:p>
        </w:tc>
        <w:tc>
          <w:tcPr>
            <w:tcW w:type="dxa" w:w="770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BEGIN IMMEDIATE transaction selects one unresolved or expired job</w:t>
            </w:r>
          </w:p>
        </w:tc>
      </w:tr>
      <w:tr>
        <w:trPr>
          <w:cantSplit/>
        </w:trPr>
        <w:tc>
          <w:tcPr>
            <w:tcW w:type="dxa" w:w="180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Candidate</w:t>
            </w:r>
          </w:p>
        </w:tc>
        <w:tc>
          <w:tcPr>
            <w:tcW w:type="dxa" w:w="770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WIN/DRAW/LOSS plus certificate file hash; UNKNOWN cannot be submitted as a candidate</w:t>
            </w:r>
          </w:p>
        </w:tc>
      </w:tr>
      <w:tr>
        <w:trPr>
          <w:cantSplit/>
        </w:trPr>
        <w:tc>
          <w:tcPr>
            <w:tcW w:type="dxa" w:w="180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Verification</w:t>
            </w:r>
          </w:p>
        </w:tc>
        <w:tc>
          <w:tcPr>
            <w:tcW w:type="dxa" w:w="770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Separate JSON checker record must match obligation, value, certificate and child state</w:t>
            </w:r>
          </w:p>
        </w:tc>
      </w:tr>
    </w:tbl>
    <w:tbl>
      <w:tblPr>
        <w:tblW w:type="auto" w:w="0"/>
        <w:jc w:val="center"/>
        <w:tblLayout w:type="fixed"/>
        <w:tblLook w:firstColumn="1" w:firstRow="1" w:lastColumn="0" w:lastRow="0" w:noHBand="0" w:noVBand="1" w:val="04A0"/>
      </w:tblPr>
      <w:tblGrid>
        <w:gridCol w:w="9978"/>
      </w:tblGrid>
      <w:tr>
        <w:trPr>
          <w:cantSplit/>
          <w:tblHeader/>
        </w:trPr>
        <w:tc>
          <w:tcPr>
            <w:tcW w:type="dxa" w:w="9720"/>
            <w:shd w:fill="EAF8F2"/>
            <w:tcBorders>
              <w:top w:val="single" w:sz="10" w:color="2AA876"/>
              <w:left w:val="single" w:sz="18" w:color="2AA876"/>
              <w:bottom w:val="single" w:sz="10" w:color="2AA876"/>
              <w:right w:val="single" w:sz="10" w:color="2AA876"/>
            </w:tcBorders>
            <w:tcMar>
              <w:top w:w="90" w:type="dxa"/>
              <w:start w:w="125" w:type="dxa"/>
              <w:bottom w:w="90" w:type="dxa"/>
              <w:end w:w="125" w:type="dxa"/>
            </w:tcMar>
          </w:tcPr>
          <w:p>
            <w:pPr>
              <w:spacing w:after="40"/>
            </w:pPr>
            <w:r>
              <w:rPr>
                <w:b/>
                <w:color w:val="2AA876"/>
                <w:sz w:val="18"/>
              </w:rPr>
              <w:t>RELOCATION TEST</w:t>
            </w:r>
          </w:p>
          <w:p>
            <w:pPr>
              <w:spacing w:after="0"/>
            </w:pPr>
            <w:r>
              <w:t>The database and its relative shard/certificate/checker paths were copied to another temporary location and reverified. This guards against absolute-path evidence that works only on the packaging machine.</w:t>
            </w:r>
          </w:p>
        </w:tc>
      </w:tr>
    </w:tbl>
    <w:p>
      <w:r>
        <w:br w:type="page"/>
      </w:r>
    </w:p>
    <w:p>
      <w:pPr>
        <w:pStyle w:val="Heading1"/>
      </w:pPr>
      <w:r>
        <w:t>12. Bounded Exact Results and Safe Incompleteness</w:t>
      </w:r>
    </w:p>
    <w:p>
      <w:pPr>
        <w:pStyle w:val="SectionLead"/>
      </w:pPr>
      <w:r>
        <w:t>Two fixtures demonstrate existential closure and honest UNKNOWN propagation.</w:t>
      </w:r>
    </w:p>
    <w:p>
      <w:pPr>
        <w:spacing w:after="60"/>
        <w:jc w:val="center"/>
      </w:pPr>
      <w:r>
        <w:drawing>
          <wp:inline xmlns:a="http://schemas.openxmlformats.org/drawingml/2006/main" xmlns:pic="http://schemas.openxmlformats.org/drawingml/2006/picture">
            <wp:extent cx="6144768" cy="2969876"/>
            <wp:docPr id="10" name="Picture 10" descr="Exact mate-over-claim result and unknown initial depth two result" title="bounded_results.png"/>
            <wp:cNvGraphicFramePr>
              <a:graphicFrameLocks noChangeAspect="1"/>
            </wp:cNvGraphicFramePr>
            <a:graphic>
              <a:graphicData uri="http://schemas.openxmlformats.org/drawingml/2006/picture">
                <pic:pic>
                  <pic:nvPicPr>
                    <pic:cNvPr id="0" name="bounded_results.png"/>
                    <pic:cNvPicPr/>
                  </pic:nvPicPr>
                  <pic:blipFill>
                    <a:blip r:embed="rId20"/>
                    <a:stretch>
                      <a:fillRect/>
                    </a:stretch>
                  </pic:blipFill>
                  <pic:spPr>
                    <a:xfrm>
                      <a:off x="0" y="0"/>
                      <a:ext cx="6144768" cy="2969876"/>
                    </a:xfrm>
                    <a:prstGeom prst="rect"/>
                  </pic:spPr>
                </pic:pic>
              </a:graphicData>
            </a:graphic>
          </wp:inline>
        </w:drawing>
      </w:r>
    </w:p>
    <w:p>
      <w:pPr>
        <w:pStyle w:val="FigureCaption"/>
        <w:jc w:val="center"/>
      </w:pPr>
      <w:r>
        <w:rPr>
          <w:b/>
        </w:rPr>
        <w:t xml:space="preserve">Figure 9. </w:t>
      </w:r>
      <w:r>
        <w:t>The first fixture is exactly WIN despite an optional draw claim; the second remains UNKNOWN at the ply horizon.</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rPr>
          <w:tblHeader w:val="true"/>
          <w:cantSplit/>
        </w:trPr>
        <w:tc>
          <w:tcPr>
            <w:tcW w:type="dxa" w:w="1440"/>
            <w:shd w:fill="0B1736"/>
            <w:tcMar>
              <w:top w:w="55" w:type="dxa"/>
              <w:start w:w="65" w:type="dxa"/>
              <w:bottom w:w="55" w:type="dxa"/>
              <w:end w:w="65" w:type="dxa"/>
            </w:tcMar>
          </w:tcPr>
          <w:p>
            <w:r>
              <w:rPr>
                <w:b/>
                <w:color w:val="FFFFFF"/>
                <w:sz w:val="13"/>
              </w:rPr>
              <w:t>Fixture</w:t>
            </w:r>
          </w:p>
        </w:tc>
        <w:tc>
          <w:tcPr>
            <w:tcW w:type="dxa" w:w="2880"/>
            <w:shd w:fill="0B1736"/>
            <w:tcMar>
              <w:top w:w="55" w:type="dxa"/>
              <w:start w:w="65" w:type="dxa"/>
              <w:bottom w:w="55" w:type="dxa"/>
              <w:end w:w="65" w:type="dxa"/>
            </w:tcMar>
          </w:tcPr>
          <w:p>
            <w:r>
              <w:rPr>
                <w:b/>
                <w:color w:val="FFFFFF"/>
                <w:sz w:val="13"/>
              </w:rPr>
              <w:t>Root</w:t>
            </w:r>
          </w:p>
        </w:tc>
        <w:tc>
          <w:tcPr>
            <w:tcW w:type="dxa" w:w="720"/>
            <w:shd w:fill="0B1736"/>
            <w:tcMar>
              <w:top w:w="55" w:type="dxa"/>
              <w:start w:w="65" w:type="dxa"/>
              <w:bottom w:w="55" w:type="dxa"/>
              <w:end w:w="65" w:type="dxa"/>
            </w:tcMar>
          </w:tcPr>
          <w:p>
            <w:r>
              <w:rPr>
                <w:b/>
                <w:color w:val="FFFFFF"/>
                <w:sz w:val="13"/>
              </w:rPr>
              <w:t>Plies</w:t>
            </w:r>
          </w:p>
        </w:tc>
        <w:tc>
          <w:tcPr>
            <w:tcW w:type="dxa" w:w="936"/>
            <w:shd w:fill="0B1736"/>
            <w:tcMar>
              <w:top w:w="55" w:type="dxa"/>
              <w:start w:w="65" w:type="dxa"/>
              <w:bottom w:w="55" w:type="dxa"/>
              <w:end w:w="65" w:type="dxa"/>
            </w:tcMar>
          </w:tcPr>
          <w:p>
            <w:r>
              <w:rPr>
                <w:b/>
                <w:color w:val="FFFFFF"/>
                <w:sz w:val="13"/>
              </w:rPr>
              <w:t>Nodes</w:t>
            </w:r>
          </w:p>
        </w:tc>
        <w:tc>
          <w:tcPr>
            <w:tcW w:type="dxa" w:w="1080"/>
            <w:shd w:fill="0B1736"/>
            <w:tcMar>
              <w:top w:w="55" w:type="dxa"/>
              <w:start w:w="65" w:type="dxa"/>
              <w:bottom w:w="55" w:type="dxa"/>
              <w:end w:w="65" w:type="dxa"/>
            </w:tcMar>
          </w:tcPr>
          <w:p>
            <w:r>
              <w:rPr>
                <w:b/>
                <w:color w:val="FFFFFF"/>
                <w:sz w:val="13"/>
              </w:rPr>
              <w:t>Value</w:t>
            </w:r>
          </w:p>
        </w:tc>
        <w:tc>
          <w:tcPr>
            <w:tcW w:type="dxa" w:w="2448"/>
            <w:shd w:fill="0B1736"/>
            <w:tcMar>
              <w:top w:w="55" w:type="dxa"/>
              <w:start w:w="65" w:type="dxa"/>
              <w:bottom w:w="55" w:type="dxa"/>
              <w:end w:w="65" w:type="dxa"/>
            </w:tcMar>
          </w:tcPr>
          <w:p>
            <w:r>
              <w:rPr>
                <w:b/>
                <w:color w:val="FFFFFF"/>
                <w:sz w:val="13"/>
              </w:rPr>
              <w:t>Reason</w:t>
            </w:r>
          </w:p>
        </w:tc>
      </w:tr>
      <w:tr>
        <w:trPr>
          <w:cantSplit/>
        </w:trPr>
        <w:tc>
          <w:tcPr>
            <w:tcW w:type="dxa" w:w="144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Mate over claim</w:t>
            </w:r>
          </w:p>
        </w:tc>
        <w:tc>
          <w:tcPr>
            <w:tcW w:type="dxa" w:w="288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8/8/8/1Q6/8/8/k7/2K5 w - - 100 2</w:t>
            </w:r>
          </w:p>
        </w:tc>
        <w:tc>
          <w:tcPr>
            <w:tcW w:type="dxa" w:w="72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1</w:t>
            </w:r>
          </w:p>
        </w:tc>
        <w:tc>
          <w:tcPr>
            <w:tcW w:type="dxa" w:w="93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2</w:t>
            </w:r>
          </w:p>
        </w:tc>
        <w:tc>
          <w:tcPr>
            <w:tcW w:type="dxa" w:w="108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WIN</w:t>
            </w:r>
          </w:p>
        </w:tc>
        <w:tc>
          <w:tcPr>
            <w:tcW w:type="dxa" w:w="244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Qa4# is an exact witness; draw claim is optional</w:t>
            </w:r>
          </w:p>
        </w:tc>
      </w:tr>
      <w:tr>
        <w:trPr>
          <w:cantSplit/>
        </w:trPr>
        <w:tc>
          <w:tcPr>
            <w:tcW w:type="dxa" w:w="144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Initial position</w:t>
            </w:r>
          </w:p>
        </w:tc>
        <w:tc>
          <w:tcPr>
            <w:tcW w:type="dxa" w:w="288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standard initial FEN</w:t>
            </w:r>
          </w:p>
        </w:tc>
        <w:tc>
          <w:tcPr>
            <w:tcW w:type="dxa" w:w="72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2</w:t>
            </w:r>
          </w:p>
        </w:tc>
        <w:tc>
          <w:tcPr>
            <w:tcW w:type="dxa" w:w="93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421</w:t>
            </w:r>
          </w:p>
        </w:tc>
        <w:tc>
          <w:tcPr>
            <w:tcW w:type="dxa" w:w="108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UNKNOWN</w:t>
            </w:r>
          </w:p>
        </w:tc>
        <w:tc>
          <w:tcPr>
            <w:tcW w:type="dxa" w:w="244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400 depth-2 leaf cutoffs remain open</w:t>
            </w:r>
          </w:p>
        </w:tc>
      </w:tr>
    </w:tbl>
    <w:p>
      <w:pPr>
        <w:pStyle w:val="Heading2"/>
      </w:pPr>
      <w:r>
        <w:t>12.1 Certificate hashes</w:t>
      </w:r>
    </w:p>
    <w:tbl>
      <w:tblPr>
        <w:tblW w:type="auto" w:w="0"/>
        <w:jc w:val="center"/>
        <w:tblLayout w:type="fixed"/>
        <w:tblLook w:firstColumn="1" w:firstRow="1" w:lastColumn="0" w:lastRow="0" w:noHBand="0" w:noVBand="1" w:val="04A0"/>
      </w:tblPr>
      <w:tblGrid>
        <w:gridCol w:w="9978"/>
      </w:tblGrid>
      <w:tr>
        <w:trPr>
          <w:cantSplit/>
          <w:tblHeader/>
        </w:trPr>
        <w:tc>
          <w:tcPr>
            <w:tcW w:type="dxa" w:w="9720"/>
            <w:shd w:fill="111C35"/>
            <w:tcBorders>
              <w:top w:val="single" w:sz="6" w:color="111C35"/>
              <w:left w:val="single" w:sz="6" w:color="111C35"/>
              <w:bottom w:val="single" w:sz="6" w:color="111C35"/>
              <w:right w:val="single" w:sz="6" w:color="111C35"/>
            </w:tcBorders>
            <w:tcMar>
              <w:top w:w="90" w:type="dxa"/>
              <w:start w:w="120" w:type="dxa"/>
              <w:bottom w:w="90" w:type="dxa"/>
              <w:end w:w="120" w:type="dxa"/>
            </w:tcMar>
          </w:tcPr>
          <w:p>
            <w:pPr>
              <w:spacing w:after="0"/>
            </w:pPr>
            <w:r>
              <w:rPr>
                <w:rFonts w:ascii="Liberation Mono" w:hAnsi="Liberation Mono"/>
                <w:color w:val="EAF2FF"/>
                <w:sz w:val="15"/>
              </w:rPr>
              <w:t>mate root certificate: 87d8a14d9b5af5cbfbccb9522f9c6ae372b66f68992c8749667a80dd1962dfb7</w:t>
              <w:br/>
              <w:t>mate child certificate: 891172e29d5aca1a49c857b4c2080284a98b717507e394061efd1f1f3ecb266f</w:t>
            </w:r>
          </w:p>
        </w:tc>
      </w:tr>
    </w:tbl>
    <w:tbl>
      <w:tblPr>
        <w:tblW w:type="auto" w:w="0"/>
        <w:jc w:val="center"/>
        <w:tblLayout w:type="fixed"/>
        <w:tblLook w:firstColumn="1" w:firstRow="1" w:lastColumn="0" w:lastRow="0" w:noHBand="0" w:noVBand="1" w:val="04A0"/>
      </w:tblPr>
      <w:tblGrid>
        <w:gridCol w:w="9978"/>
      </w:tblGrid>
      <w:tr>
        <w:trPr>
          <w:cantSplit/>
          <w:tblHeader/>
        </w:trPr>
        <w:tc>
          <w:tcPr>
            <w:tcW w:type="dxa" w:w="9720"/>
            <w:shd w:fill="FFF7E8"/>
            <w:tcBorders>
              <w:top w:val="single" w:sz="10" w:color="E0A819"/>
              <w:left w:val="single" w:sz="18" w:color="E0A819"/>
              <w:bottom w:val="single" w:sz="10" w:color="E0A819"/>
              <w:right w:val="single" w:sz="10" w:color="E0A819"/>
            </w:tcBorders>
            <w:tcMar>
              <w:top w:w="90" w:type="dxa"/>
              <w:start w:w="125" w:type="dxa"/>
              <w:bottom w:w="90" w:type="dxa"/>
              <w:end w:w="125" w:type="dxa"/>
            </w:tcMar>
          </w:tcPr>
          <w:p>
            <w:pPr>
              <w:spacing w:after="40"/>
            </w:pPr>
            <w:r>
              <w:rPr>
                <w:b/>
                <w:color w:val="E0A819"/>
                <w:sz w:val="18"/>
              </w:rPr>
              <w:t>PROOF LESSON</w:t>
            </w:r>
          </w:p>
          <w:p>
            <w:pPr>
              <w:spacing w:after="0"/>
            </w:pPr>
            <w:r>
              <w:t>An existential WIN can close early when one exact losing child is found. Universal LOSS and complete DRAW cannot close until all relevant actions and history states are covered.</w:t>
            </w:r>
          </w:p>
        </w:tc>
      </w:tr>
    </w:tbl>
    <w:p>
      <w:r>
        <w:br w:type="page"/>
      </w:r>
    </w:p>
    <w:p>
      <w:pPr>
        <w:pStyle w:val="Heading1"/>
      </w:pPr>
      <w:r>
        <w:t>13. Retained Forced-Mate Certificate</w:t>
      </w:r>
    </w:p>
    <w:p>
      <w:pPr>
        <w:pStyle w:val="SectionLead"/>
      </w:pPr>
      <w:r>
        <w:t>Chess 1.0's OR/AND mate proof remains a compact independently verifiable exact layer.</w:t>
      </w:r>
    </w:p>
    <w:p>
      <w:pPr>
        <w:spacing w:after="60"/>
        <w:jc w:val="center"/>
      </w:pPr>
      <w:r>
        <w:drawing>
          <wp:inline xmlns:a="http://schemas.openxmlformats.org/drawingml/2006/main" xmlns:pic="http://schemas.openxmlformats.org/drawingml/2006/picture">
            <wp:extent cx="5715000" cy="2751083"/>
            <wp:docPr id="11" name="Picture 11" descr="Three-position sequence Qb5 Ka2 Qb2 checkmate" title="mate_sequence.png"/>
            <wp:cNvGraphicFramePr>
              <a:graphicFrameLocks noChangeAspect="1"/>
            </wp:cNvGraphicFramePr>
            <a:graphic>
              <a:graphicData uri="http://schemas.openxmlformats.org/drawingml/2006/picture">
                <pic:pic>
                  <pic:nvPicPr>
                    <pic:cNvPr id="0" name="mate_sequence.png"/>
                    <pic:cNvPicPr/>
                  </pic:nvPicPr>
                  <pic:blipFill>
                    <a:blip r:embed="rId21"/>
                    <a:stretch>
                      <a:fillRect/>
                    </a:stretch>
                  </pic:blipFill>
                  <pic:spPr>
                    <a:xfrm>
                      <a:off x="0" y="0"/>
                      <a:ext cx="5715000" cy="2751083"/>
                    </a:xfrm>
                    <a:prstGeom prst="rect"/>
                  </pic:spPr>
                </pic:pic>
              </a:graphicData>
            </a:graphic>
          </wp:inline>
        </w:drawing>
      </w:r>
    </w:p>
    <w:p>
      <w:pPr>
        <w:pStyle w:val="FigureCaption"/>
        <w:jc w:val="center"/>
      </w:pPr>
      <w:r>
        <w:rPr>
          <w:b/>
        </w:rPr>
        <w:t xml:space="preserve">Figure 10. </w:t>
      </w:r>
      <w:r>
        <w:t>Worked certificate: 1. Qb5 Ka2 2. Qb2# from the declared KQK fixture.</w:t>
      </w:r>
    </w:p>
    <w:p>
      <w:pPr>
        <w:spacing w:after="60"/>
        <w:jc w:val="center"/>
      </w:pPr>
      <w:r>
        <w:drawing>
          <wp:inline xmlns:a="http://schemas.openxmlformats.org/drawingml/2006/main" xmlns:pic="http://schemas.openxmlformats.org/drawingml/2006/picture">
            <wp:extent cx="5623560" cy="2534717"/>
            <wp:docPr id="12" name="Picture 12" descr="OR AND mate certificate tree" title="proof_tree.png"/>
            <wp:cNvGraphicFramePr>
              <a:graphicFrameLocks noChangeAspect="1"/>
            </wp:cNvGraphicFramePr>
            <a:graphic>
              <a:graphicData uri="http://schemas.openxmlformats.org/drawingml/2006/picture">
                <pic:pic>
                  <pic:nvPicPr>
                    <pic:cNvPr id="0" name="proof_tree.png"/>
                    <pic:cNvPicPr/>
                  </pic:nvPicPr>
                  <pic:blipFill>
                    <a:blip r:embed="rId22"/>
                    <a:stretch>
                      <a:fillRect/>
                    </a:stretch>
                  </pic:blipFill>
                  <pic:spPr>
                    <a:xfrm>
                      <a:off x="0" y="0"/>
                      <a:ext cx="5623560" cy="2534717"/>
                    </a:xfrm>
                    <a:prstGeom prst="rect"/>
                  </pic:spPr>
                </pic:pic>
              </a:graphicData>
            </a:graphic>
          </wp:inline>
        </w:drawing>
      </w:r>
    </w:p>
    <w:p>
      <w:pPr>
        <w:pStyle w:val="FigureCaption"/>
        <w:jc w:val="center"/>
      </w:pPr>
      <w:r>
        <w:rPr>
          <w:b/>
        </w:rPr>
        <w:t xml:space="preserve">Figure 11. </w:t>
      </w:r>
      <w:r>
        <w:t>The attacker's OR node supplies one winning move; the defender's AND node enumerates every legal reply.</w:t>
      </w:r>
    </w:p>
    <w:tbl>
      <w:tblPr>
        <w:tblW w:type="auto" w:w="0"/>
        <w:jc w:val="center"/>
        <w:tblLayout w:type="fixed"/>
        <w:tblLook w:firstColumn="1" w:firstRow="1" w:lastColumn="0" w:lastRow="0" w:noHBand="0" w:noVBand="1" w:val="04A0"/>
      </w:tblPr>
      <w:tblGrid>
        <w:gridCol w:w="9978"/>
      </w:tblGrid>
      <w:tr>
        <w:trPr>
          <w:cantSplit/>
          <w:tblHeader/>
        </w:trPr>
        <w:tc>
          <w:tcPr>
            <w:tcW w:type="dxa" w:w="9720"/>
            <w:shd w:fill="EEF4FF"/>
            <w:tcBorders>
              <w:top w:val="single" w:sz="10" w:color="4568DC"/>
              <w:left w:val="single" w:sz="18" w:color="4568DC"/>
              <w:bottom w:val="single" w:sz="10" w:color="4568DC"/>
              <w:right w:val="single" w:sz="10" w:color="4568DC"/>
            </w:tcBorders>
            <w:tcMar>
              <w:top w:w="90" w:type="dxa"/>
              <w:start w:w="125" w:type="dxa"/>
              <w:bottom w:w="90" w:type="dxa"/>
              <w:end w:w="125" w:type="dxa"/>
            </w:tcMar>
          </w:tcPr>
          <w:p>
            <w:pPr>
              <w:spacing w:after="40"/>
            </w:pPr>
            <w:r>
              <w:rPr>
                <w:b/>
                <w:color w:val="4568DC"/>
                <w:sz w:val="18"/>
              </w:rPr>
              <w:t>EXACT SCOPE</w:t>
            </w:r>
          </w:p>
          <w:p>
            <w:pPr>
              <w:spacing w:after="0"/>
            </w:pPr>
            <w:r>
              <w:t>This proves a forced mate from one serialized position within the declared horizon. It is not evidence about the game-theoretic value of the 32-piece initial position.</w:t>
            </w:r>
          </w:p>
        </w:tc>
      </w:tr>
    </w:tbl>
    <w:p>
      <w:r>
        <w:br w:type="page"/>
      </w:r>
    </w:p>
    <w:p>
      <w:pPr>
        <w:pStyle w:val="Heading1"/>
      </w:pPr>
      <w:r>
        <w:t>14. Complete KQK and KRK WDL/DTM Tables</w:t>
      </w:r>
    </w:p>
    <w:p>
      <w:pPr>
        <w:pStyle w:val="SectionLead"/>
      </w:pPr>
      <w:r>
        <w:t>Two finite three-piece state spaces are bundled as exact, reconstructible proof partitions.</w:t>
      </w:r>
    </w:p>
    <w:p>
      <w:pPr>
        <w:spacing w:after="60"/>
        <w:jc w:val="center"/>
      </w:pPr>
      <w:r>
        <w:drawing>
          <wp:inline xmlns:a="http://schemas.openxmlformats.org/drawingml/2006/main" xmlns:pic="http://schemas.openxmlformats.org/drawingml/2006/picture">
            <wp:extent cx="6080760" cy="2585463"/>
            <wp:docPr id="13" name="Picture 13" descr="KQK and KRK outcome counts" title="tablebase_counts.png"/>
            <wp:cNvGraphicFramePr>
              <a:graphicFrameLocks noChangeAspect="1"/>
            </wp:cNvGraphicFramePr>
            <a:graphic>
              <a:graphicData uri="http://schemas.openxmlformats.org/drawingml/2006/picture">
                <pic:pic>
                  <pic:nvPicPr>
                    <pic:cNvPr id="0" name="tablebase_counts.png"/>
                    <pic:cNvPicPr/>
                  </pic:nvPicPr>
                  <pic:blipFill>
                    <a:blip r:embed="rId23"/>
                    <a:stretch>
                      <a:fillRect/>
                    </a:stretch>
                  </pic:blipFill>
                  <pic:spPr>
                    <a:xfrm>
                      <a:off x="0" y="0"/>
                      <a:ext cx="6080760" cy="2585463"/>
                    </a:xfrm>
                    <a:prstGeom prst="rect"/>
                  </pic:spPr>
                </pic:pic>
              </a:graphicData>
            </a:graphic>
          </wp:inline>
        </w:drawing>
      </w:r>
    </w:p>
    <w:p>
      <w:pPr>
        <w:pStyle w:val="FigureCaption"/>
        <w:jc w:val="center"/>
      </w:pPr>
      <w:r>
        <w:rPr>
          <w:b/>
        </w:rPr>
        <w:t xml:space="preserve">Figure 12. </w:t>
      </w:r>
      <w:r>
        <w:t>All 2^19 packed addresses are classified as valid WIN/LOSS/DRAW or invalid placement.</w:t>
      </w:r>
    </w:p>
    <w:tbl>
      <w:tblPr>
        <w:tblW w:type="auto" w:w="0"/>
        <w:jc w:val="center"/>
        <w:tblLayout w:type="fixed"/>
        <w:tblLook w:firstColumn="1" w:firstRow="1" w:lastColumn="0" w:lastRow="0" w:noHBand="0" w:noVBand="1" w:val="04A0"/>
      </w:tblPr>
      <w:tblGrid>
        <w:gridCol w:w="1425"/>
        <w:gridCol w:w="1425"/>
        <w:gridCol w:w="1425"/>
        <w:gridCol w:w="1425"/>
        <w:gridCol w:w="1425"/>
        <w:gridCol w:w="1425"/>
        <w:gridCol w:w="1425"/>
      </w:tblGrid>
      <w:tr>
        <w:trPr>
          <w:tblHeader w:val="true"/>
          <w:cantSplit/>
        </w:trPr>
        <w:tc>
          <w:tcPr>
            <w:tcW w:type="dxa" w:w="936"/>
            <w:shd w:fill="0B1736"/>
            <w:tcMar>
              <w:top w:w="55" w:type="dxa"/>
              <w:start w:w="65" w:type="dxa"/>
              <w:bottom w:w="55" w:type="dxa"/>
              <w:end w:w="65" w:type="dxa"/>
            </w:tcMar>
          </w:tcPr>
          <w:p>
            <w:r>
              <w:rPr>
                <w:b/>
                <w:color w:val="FFFFFF"/>
                <w:sz w:val="14"/>
              </w:rPr>
              <w:t>Table</w:t>
            </w:r>
          </w:p>
        </w:tc>
        <w:tc>
          <w:tcPr>
            <w:tcW w:type="dxa" w:w="1440"/>
            <w:shd w:fill="0B1736"/>
            <w:tcMar>
              <w:top w:w="55" w:type="dxa"/>
              <w:start w:w="65" w:type="dxa"/>
              <w:bottom w:w="55" w:type="dxa"/>
              <w:end w:w="65" w:type="dxa"/>
            </w:tcMar>
          </w:tcPr>
          <w:p>
            <w:r>
              <w:rPr>
                <w:b/>
                <w:color w:val="FFFFFF"/>
                <w:sz w:val="14"/>
              </w:rPr>
              <w:t>Valid</w:t>
            </w:r>
          </w:p>
        </w:tc>
        <w:tc>
          <w:tcPr>
            <w:tcW w:type="dxa" w:w="1296"/>
            <w:shd w:fill="0B1736"/>
            <w:tcMar>
              <w:top w:w="55" w:type="dxa"/>
              <w:start w:w="65" w:type="dxa"/>
              <w:bottom w:w="55" w:type="dxa"/>
              <w:end w:w="65" w:type="dxa"/>
            </w:tcMar>
          </w:tcPr>
          <w:p>
            <w:r>
              <w:rPr>
                <w:b/>
                <w:color w:val="FFFFFF"/>
                <w:sz w:val="14"/>
              </w:rPr>
              <w:t>WIN</w:t>
            </w:r>
          </w:p>
        </w:tc>
        <w:tc>
          <w:tcPr>
            <w:tcW w:type="dxa" w:w="1296"/>
            <w:shd w:fill="0B1736"/>
            <w:tcMar>
              <w:top w:w="55" w:type="dxa"/>
              <w:start w:w="65" w:type="dxa"/>
              <w:bottom w:w="55" w:type="dxa"/>
              <w:end w:w="65" w:type="dxa"/>
            </w:tcMar>
          </w:tcPr>
          <w:p>
            <w:r>
              <w:rPr>
                <w:b/>
                <w:color w:val="FFFFFF"/>
                <w:sz w:val="14"/>
              </w:rPr>
              <w:t>LOSS</w:t>
            </w:r>
          </w:p>
        </w:tc>
        <w:tc>
          <w:tcPr>
            <w:tcW w:type="dxa" w:w="1152"/>
            <w:shd w:fill="0B1736"/>
            <w:tcMar>
              <w:top w:w="55" w:type="dxa"/>
              <w:start w:w="65" w:type="dxa"/>
              <w:bottom w:w="55" w:type="dxa"/>
              <w:end w:w="65" w:type="dxa"/>
            </w:tcMar>
          </w:tcPr>
          <w:p>
            <w:r>
              <w:rPr>
                <w:b/>
                <w:color w:val="FFFFFF"/>
                <w:sz w:val="14"/>
              </w:rPr>
              <w:t>DRAW</w:t>
            </w:r>
          </w:p>
        </w:tc>
        <w:tc>
          <w:tcPr>
            <w:tcW w:type="dxa" w:w="1080"/>
            <w:shd w:fill="0B1736"/>
            <w:tcMar>
              <w:top w:w="55" w:type="dxa"/>
              <w:start w:w="65" w:type="dxa"/>
              <w:bottom w:w="55" w:type="dxa"/>
              <w:end w:w="65" w:type="dxa"/>
            </w:tcMar>
          </w:tcPr>
          <w:p>
            <w:r>
              <w:rPr>
                <w:b/>
                <w:color w:val="FFFFFF"/>
                <w:sz w:val="14"/>
              </w:rPr>
              <w:t>Max DTM</w:t>
            </w:r>
          </w:p>
        </w:tc>
        <w:tc>
          <w:tcPr>
            <w:tcW w:type="dxa" w:w="1512"/>
            <w:shd w:fill="0B1736"/>
            <w:tcMar>
              <w:top w:w="55" w:type="dxa"/>
              <w:start w:w="65" w:type="dxa"/>
              <w:bottom w:w="55" w:type="dxa"/>
              <w:end w:w="65" w:type="dxa"/>
            </w:tcMar>
          </w:tcPr>
          <w:p>
            <w:r>
              <w:rPr>
                <w:b/>
                <w:color w:val="FFFFFF"/>
                <w:sz w:val="14"/>
              </w:rPr>
              <w:t>gzip bytes</w:t>
            </w:r>
          </w:p>
        </w:tc>
      </w:tr>
      <w:tr>
        <w:trPr>
          <w:cantSplit/>
        </w:trPr>
        <w:tc>
          <w:tcPr>
            <w:tcW w:type="dxa" w:w="93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4"/>
              </w:rPr>
              <w:t>KQK</w:t>
            </w:r>
          </w:p>
        </w:tc>
        <w:tc>
          <w:tcPr>
            <w:tcW w:type="dxa" w:w="144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4"/>
              </w:rPr>
              <w:t>368,452</w:t>
            </w:r>
          </w:p>
        </w:tc>
        <w:tc>
          <w:tcPr>
            <w:tcW w:type="dxa" w:w="129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4"/>
              </w:rPr>
              <w:t>144,508</w:t>
            </w:r>
          </w:p>
        </w:tc>
        <w:tc>
          <w:tcPr>
            <w:tcW w:type="dxa" w:w="129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4"/>
              </w:rPr>
              <w:t>200,896</w:t>
            </w:r>
          </w:p>
        </w:tc>
        <w:tc>
          <w:tcPr>
            <w:tcW w:type="dxa" w:w="115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4"/>
              </w:rPr>
              <w:t>23,048</w:t>
            </w:r>
          </w:p>
        </w:tc>
        <w:tc>
          <w:tcPr>
            <w:tcW w:type="dxa" w:w="108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4"/>
              </w:rPr>
              <w:t>20</w:t>
            </w:r>
          </w:p>
        </w:tc>
        <w:tc>
          <w:tcPr>
            <w:tcW w:type="dxa" w:w="151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4"/>
              </w:rPr>
              <w:t>144,368</w:t>
            </w:r>
          </w:p>
        </w:tc>
      </w:tr>
      <w:tr>
        <w:trPr>
          <w:cantSplit/>
        </w:trPr>
        <w:tc>
          <w:tcPr>
            <w:tcW w:type="dxa" w:w="93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4"/>
              </w:rPr>
              <w:t>KRK</w:t>
            </w:r>
          </w:p>
        </w:tc>
        <w:tc>
          <w:tcPr>
            <w:tcW w:type="dxa" w:w="144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4"/>
              </w:rPr>
              <w:t>399,112</w:t>
            </w:r>
          </w:p>
        </w:tc>
        <w:tc>
          <w:tcPr>
            <w:tcW w:type="dxa" w:w="129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4"/>
              </w:rPr>
              <w:t>175,168</w:t>
            </w:r>
          </w:p>
        </w:tc>
        <w:tc>
          <w:tcPr>
            <w:tcW w:type="dxa" w:w="129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4"/>
              </w:rPr>
              <w:t>201,700</w:t>
            </w:r>
          </w:p>
        </w:tc>
        <w:tc>
          <w:tcPr>
            <w:tcW w:type="dxa" w:w="115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4"/>
              </w:rPr>
              <w:t>22,244</w:t>
            </w:r>
          </w:p>
        </w:tc>
        <w:tc>
          <w:tcPr>
            <w:tcW w:type="dxa" w:w="108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4"/>
              </w:rPr>
              <w:t>32</w:t>
            </w:r>
          </w:p>
        </w:tc>
        <w:tc>
          <w:tcPr>
            <w:tcW w:type="dxa" w:w="151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4"/>
              </w:rPr>
              <w:t>152,306</w:t>
            </w:r>
          </w:p>
        </w:tc>
      </w:tr>
    </w:tbl>
    <w:tbl>
      <w:tblPr>
        <w:tblW w:type="auto" w:w="0"/>
        <w:jc w:val="center"/>
        <w:tblLayout w:type="fixed"/>
        <w:tblLook w:firstColumn="1" w:firstRow="1" w:lastColumn="0" w:lastRow="0" w:noHBand="0" w:noVBand="1" w:val="04A0"/>
      </w:tblPr>
      <w:tblGrid>
        <w:gridCol w:w="9978"/>
      </w:tblGrid>
      <w:tr>
        <w:trPr>
          <w:cantSplit/>
          <w:tblHeader/>
        </w:trPr>
        <w:tc>
          <w:tcPr>
            <w:tcW w:type="dxa" w:w="9720"/>
            <w:shd w:fill="EAF8F2"/>
            <w:tcBorders>
              <w:top w:val="single" w:sz="10" w:color="2AA876"/>
              <w:left w:val="single" w:sz="18" w:color="2AA876"/>
              <w:bottom w:val="single" w:sz="10" w:color="2AA876"/>
              <w:right w:val="single" w:sz="10" w:color="2AA876"/>
            </w:tcBorders>
            <w:tcMar>
              <w:top w:w="90" w:type="dxa"/>
              <w:start w:w="125" w:type="dxa"/>
              <w:bottom w:w="90" w:type="dxa"/>
              <w:end w:w="125" w:type="dxa"/>
            </w:tcMar>
          </w:tcPr>
          <w:p>
            <w:pPr>
              <w:spacing w:after="40"/>
            </w:pPr>
            <w:r>
              <w:rPr>
                <w:b/>
                <w:color w:val="2AA876"/>
                <w:sz w:val="18"/>
              </w:rPr>
              <w:t>TABLEBASE BOUNDARY</w:t>
            </w:r>
          </w:p>
          <w:p>
            <w:pPr>
              <w:spacing w:after="0"/>
            </w:pPr>
            <w:r>
              <w:t>Outcome is from the side-to-move perspective. DTM is plies to checkmate under optimal play. These two tables are complete for their declared material signatures, not a substitute for all 3- through 7-piece endgames.</w:t>
            </w:r>
          </w:p>
        </w:tc>
      </w:tr>
    </w:tbl>
    <w:p>
      <w:r>
        <w:br w:type="page"/>
      </w:r>
    </w:p>
    <w:p>
      <w:pPr>
        <w:pStyle w:val="Heading1"/>
      </w:pPr>
      <w:r>
        <w:t>15. Finite Addressing, Generation and External Adapters</w:t>
      </w:r>
    </w:p>
    <w:p>
      <w:pPr>
        <w:pStyle w:val="SectionLead"/>
      </w:pPr>
      <w:r>
        <w:t>Exact tables are proof partitions only when key, decode, legality and rule-profile contracts remain explicit.</w:t>
      </w:r>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2088"/>
            <w:shd w:fill="0B1736"/>
            <w:tcMar>
              <w:top w:w="55" w:type="dxa"/>
              <w:start w:w="65" w:type="dxa"/>
              <w:bottom w:w="55" w:type="dxa"/>
              <w:end w:w="65" w:type="dxa"/>
            </w:tcMar>
          </w:tcPr>
          <w:p>
            <w:r>
              <w:rPr>
                <w:b/>
                <w:color w:val="FFFFFF"/>
                <w:sz w:val="15"/>
              </w:rPr>
              <w:t>Contract</w:t>
            </w:r>
          </w:p>
        </w:tc>
        <w:tc>
          <w:tcPr>
            <w:tcW w:type="dxa" w:w="7416"/>
            <w:shd w:fill="0B1736"/>
            <w:tcMar>
              <w:top w:w="55" w:type="dxa"/>
              <w:start w:w="65" w:type="dxa"/>
              <w:bottom w:w="55" w:type="dxa"/>
              <w:end w:w="65" w:type="dxa"/>
            </w:tcMar>
          </w:tcPr>
          <w:p>
            <w:r>
              <w:rPr>
                <w:b/>
                <w:color w:val="FFFFFF"/>
                <w:sz w:val="15"/>
              </w:rPr>
              <w:t>Exact requirement</w:t>
            </w:r>
          </w:p>
        </w:tc>
      </w:tr>
      <w:tr>
        <w:trPr>
          <w:cantSplit/>
        </w:trPr>
        <w:tc>
          <w:tcPr>
            <w:tcW w:type="dxa" w:w="208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Address width</w:t>
            </w:r>
          </w:p>
        </w:tc>
        <w:tc>
          <w:tcPr>
            <w:tcW w:type="dxa" w:w="741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19 bits; 524,288 addresses for king, king, major piece and side-to-move fields</w:t>
            </w:r>
          </w:p>
        </w:tc>
      </w:tr>
      <w:tr>
        <w:trPr>
          <w:cantSplit/>
        </w:trPr>
        <w:tc>
          <w:tcPr>
            <w:tcW w:type="dxa" w:w="208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Validity</w:t>
            </w:r>
          </w:p>
        </w:tc>
        <w:tc>
          <w:tcPr>
            <w:tcW w:type="dxa" w:w="741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Overlapping pieces, adjacent kings and illegal check configurations are marked invalid</w:t>
            </w:r>
          </w:p>
        </w:tc>
      </w:tr>
      <w:tr>
        <w:trPr>
          <w:cantSplit/>
        </w:trPr>
        <w:tc>
          <w:tcPr>
            <w:tcW w:type="dxa" w:w="208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Generation</w:t>
            </w:r>
          </w:p>
        </w:tc>
        <w:tc>
          <w:tcPr>
            <w:tcW w:type="dxa" w:w="741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Retrograde fixed point seeds checkmates/stalemates and propagates side-to-move WDL/DTM</w:t>
            </w:r>
          </w:p>
        </w:tc>
      </w:tr>
      <w:tr>
        <w:trPr>
          <w:cantSplit/>
        </w:trPr>
        <w:tc>
          <w:tcPr>
            <w:tcW w:type="dxa" w:w="208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Transport</w:t>
            </w:r>
          </w:p>
        </w:tc>
        <w:tc>
          <w:tcPr>
            <w:tcW w:type="dxa" w:w="741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gzip payload plus JSON metadata, file length and SHA-256</w:t>
            </w:r>
          </w:p>
        </w:tc>
      </w:tr>
      <w:tr>
        <w:trPr>
          <w:cantSplit/>
        </w:trPr>
        <w:tc>
          <w:tcPr>
            <w:tcW w:type="dxa" w:w="208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Probe</w:t>
            </w:r>
          </w:p>
        </w:tc>
        <w:tc>
          <w:tcPr>
            <w:tcW w:type="dxa" w:w="741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Decode address, revalidate material/profile and return WDL/DTM</w:t>
            </w:r>
          </w:p>
        </w:tc>
      </w:tr>
      <w:tr>
        <w:trPr>
          <w:cantSplit/>
        </w:trPr>
        <w:tc>
          <w:tcPr>
            <w:tcW w:type="dxa" w:w="208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External adapter</w:t>
            </w:r>
          </w:p>
        </w:tc>
        <w:tc>
          <w:tcPr>
            <w:tcW w:type="dxa" w:w="741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May query larger Syzygy partitions, but must label rule profile and independently recheck transitions</w:t>
            </w:r>
          </w:p>
        </w:tc>
      </w:tr>
    </w:tbl>
    <w:p>
      <w:pPr>
        <w:pStyle w:val="Heading2"/>
      </w:pPr>
      <w:r>
        <w:t>15.1 Why these tables matter to a global attempt</w:t>
      </w:r>
    </w:p>
    <w:p>
      <w:pPr>
        <w:pStyle w:val="Bullet"/>
        <w:spacing w:after="60"/>
        <w:ind w:left="346" w:hanging="216"/>
      </w:pPr>
      <w:r>
        <w:rPr>
          <w:b/>
          <w:color w:val="2AA876"/>
        </w:rPr>
        <w:t xml:space="preserve">• </w:t>
      </w:r>
      <w:r>
        <w:t>Solved material partitions become terminal proof nodes for larger predecessor graphs.</w:t>
      </w:r>
    </w:p>
    <w:p>
      <w:pPr>
        <w:pStyle w:val="Bullet"/>
        <w:spacing w:after="60"/>
        <w:ind w:left="346" w:hanging="216"/>
      </w:pPr>
      <w:r>
        <w:rPr>
          <w:b/>
          <w:color w:val="2AA876"/>
        </w:rPr>
        <w:t xml:space="preserve">• </w:t>
      </w:r>
      <w:r>
        <w:t>Distance metadata supports deterministic witness extraction and cycle avoidance.</w:t>
      </w:r>
    </w:p>
    <w:p>
      <w:pPr>
        <w:pStyle w:val="Bullet"/>
        <w:spacing w:after="60"/>
        <w:ind w:left="346" w:hanging="216"/>
      </w:pPr>
      <w:r>
        <w:rPr>
          <w:b/>
          <w:color w:val="2AA876"/>
        </w:rPr>
        <w:t xml:space="preserve">• </w:t>
      </w:r>
      <w:r>
        <w:t>Hashes permit distributed workers to refer to one exact table version rather than an ambiguous service response.</w:t>
      </w:r>
    </w:p>
    <w:p>
      <w:pPr>
        <w:pStyle w:val="Bullet"/>
        <w:spacing w:after="60"/>
        <w:ind w:left="346" w:hanging="216"/>
      </w:pPr>
      <w:r>
        <w:rPr>
          <w:b/>
          <w:color w:val="2AA876"/>
        </w:rPr>
        <w:t xml:space="preserve">• </w:t>
      </w:r>
      <w:r>
        <w:t>A full campaign still needs promotion/capture transitions, 50/75-move policy compatibility and history-aware boundaries.</w:t>
      </w:r>
    </w:p>
    <w:tbl>
      <w:tblPr>
        <w:tblW w:type="auto" w:w="0"/>
        <w:jc w:val="center"/>
        <w:tblLayout w:type="fixed"/>
        <w:tblLook w:firstColumn="1" w:firstRow="1" w:lastColumn="0" w:lastRow="0" w:noHBand="0" w:noVBand="1" w:val="04A0"/>
      </w:tblPr>
      <w:tblGrid>
        <w:gridCol w:w="9978"/>
      </w:tblGrid>
      <w:tr>
        <w:trPr>
          <w:cantSplit/>
          <w:tblHeader/>
        </w:trPr>
        <w:tc>
          <w:tcPr>
            <w:tcW w:type="dxa" w:w="9720"/>
            <w:shd w:fill="FFF7E8"/>
            <w:tcBorders>
              <w:top w:val="single" w:sz="10" w:color="E0A819"/>
              <w:left w:val="single" w:sz="18" w:color="E0A819"/>
              <w:bottom w:val="single" w:sz="10" w:color="E0A819"/>
              <w:right w:val="single" w:sz="10" w:color="E0A819"/>
            </w:tcBorders>
            <w:tcMar>
              <w:top w:w="90" w:type="dxa"/>
              <w:start w:w="125" w:type="dxa"/>
              <w:bottom w:w="90" w:type="dxa"/>
              <w:end w:w="125" w:type="dxa"/>
            </w:tcMar>
          </w:tcPr>
          <w:p>
            <w:pPr>
              <w:spacing w:after="40"/>
            </w:pPr>
            <w:r>
              <w:rPr>
                <w:b/>
                <w:color w:val="E0A819"/>
                <w:sz w:val="18"/>
              </w:rPr>
              <w:t>COMPRESSION RULE</w:t>
            </w:r>
          </w:p>
          <w:p>
            <w:pPr>
              <w:spacing w:after="0"/>
            </w:pPr>
            <w:r>
              <w:t>Smaller storage is useful only with a total decoder and exact outcome equivalence. The tablebase key is a finite address, not a claim that chess state is one bit or that all history has disappeared.</w:t>
            </w:r>
          </w:p>
        </w:tc>
      </w:tr>
    </w:tbl>
    <w:p>
      <w:r>
        <w:br w:type="page"/>
      </w:r>
    </w:p>
    <w:p>
      <w:pPr>
        <w:pStyle w:val="Heading1"/>
      </w:pPr>
      <w:r>
        <w:t>16. Native C++20 Foundation</w:t>
      </w:r>
    </w:p>
    <w:p>
      <w:pPr>
        <w:pStyle w:val="SectionLead"/>
      </w:pPr>
      <w:r>
        <w:t>A second implementation provides fast exact checks and a clean CUDA integration boundary.</w:t>
      </w:r>
    </w:p>
    <w:p>
      <w:pPr>
        <w:spacing w:after="60"/>
        <w:jc w:val="center"/>
      </w:pPr>
      <w:r>
        <w:drawing>
          <wp:inline xmlns:a="http://schemas.openxmlformats.org/drawingml/2006/main" xmlns:pic="http://schemas.openxmlformats.org/drawingml/2006/picture">
            <wp:extent cx="6144768" cy="3020500"/>
            <wp:docPr id="14" name="Picture 14" descr="C++20 modules and executable boundary" title="native_architecture.png"/>
            <wp:cNvGraphicFramePr>
              <a:graphicFrameLocks noChangeAspect="1"/>
            </wp:cNvGraphicFramePr>
            <a:graphic>
              <a:graphicData uri="http://schemas.openxmlformats.org/drawingml/2006/picture">
                <pic:pic>
                  <pic:nvPicPr>
                    <pic:cNvPr id="0" name="native_architecture.png"/>
                    <pic:cNvPicPr/>
                  </pic:nvPicPr>
                  <pic:blipFill>
                    <a:blip r:embed="rId24"/>
                    <a:stretch>
                      <a:fillRect/>
                    </a:stretch>
                  </pic:blipFill>
                  <pic:spPr>
                    <a:xfrm>
                      <a:off x="0" y="0"/>
                      <a:ext cx="6144768" cy="3020500"/>
                    </a:xfrm>
                    <a:prstGeom prst="rect"/>
                  </pic:spPr>
                </pic:pic>
              </a:graphicData>
            </a:graphic>
          </wp:inline>
        </w:drawing>
      </w:r>
    </w:p>
    <w:p>
      <w:pPr>
        <w:pStyle w:val="FigureCaption"/>
        <w:jc w:val="center"/>
      </w:pPr>
      <w:r>
        <w:rPr>
          <w:b/>
        </w:rPr>
        <w:t xml:space="preserve">Figure 13. </w:t>
      </w:r>
      <w:r>
        <w:t>Host legality and performance oracles are separate from the Python history/WDL authority.</w:t>
      </w:r>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2520"/>
            <w:shd w:fill="0B1736"/>
            <w:tcMar>
              <w:top w:w="55" w:type="dxa"/>
              <w:start w:w="65" w:type="dxa"/>
              <w:bottom w:w="55" w:type="dxa"/>
              <w:end w:w="65" w:type="dxa"/>
            </w:tcMar>
          </w:tcPr>
          <w:p>
            <w:r>
              <w:rPr>
                <w:b/>
                <w:color w:val="FFFFFF"/>
                <w:sz w:val="15"/>
              </w:rPr>
              <w:t>Module</w:t>
            </w:r>
          </w:p>
        </w:tc>
        <w:tc>
          <w:tcPr>
            <w:tcW w:type="dxa" w:w="6984"/>
            <w:shd w:fill="0B1736"/>
            <w:tcMar>
              <w:top w:w="55" w:type="dxa"/>
              <w:start w:w="65" w:type="dxa"/>
              <w:bottom w:w="55" w:type="dxa"/>
              <w:end w:w="65" w:type="dxa"/>
            </w:tcMar>
          </w:tcPr>
          <w:p>
            <w:r>
              <w:rPr>
                <w:b/>
                <w:color w:val="FFFFFF"/>
                <w:sz w:val="15"/>
              </w:rPr>
              <w:t>Role</w:t>
            </w:r>
          </w:p>
        </w:tc>
      </w:tr>
      <w:tr>
        <w:trPr>
          <w:cantSplit/>
        </w:trPr>
        <w:tc>
          <w:tcPr>
            <w:tcW w:type="dxa" w:w="252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core.cpp / fen.cpp</w:t>
            </w:r>
          </w:p>
        </w:tc>
        <w:tc>
          <w:tcPr>
            <w:tcW w:type="dxa" w:w="698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Board representation, attacks, legal transitions, perft and notation transport</w:t>
            </w:r>
          </w:p>
        </w:tc>
      </w:tr>
      <w:tr>
        <w:trPr>
          <w:cantSplit/>
        </w:trPr>
        <w:tc>
          <w:tcPr>
            <w:tcW w:type="dxa" w:w="252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search.cpp</w:t>
            </w:r>
          </w:p>
        </w:tc>
        <w:tc>
          <w:tcPr>
            <w:tcW w:type="dxa" w:w="698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Deterministic alpha-beta and bounded mate search; scores are not global proof</w:t>
            </w:r>
          </w:p>
        </w:tc>
      </w:tr>
      <w:tr>
        <w:trPr>
          <w:cantSplit/>
        </w:trPr>
        <w:tc>
          <w:tcPr>
            <w:tcW w:type="dxa" w:w="252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retrograde_cpu.cpp</w:t>
            </w:r>
          </w:p>
        </w:tc>
        <w:tc>
          <w:tcPr>
            <w:tcW w:type="dxa" w:w="698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Generic monotone WIN/LOSS fixed-point demonstration</w:t>
            </w:r>
          </w:p>
        </w:tc>
      </w:tr>
      <w:tr>
        <w:trPr>
          <w:cantSplit/>
        </w:trPr>
        <w:tc>
          <w:tcPr>
            <w:tcW w:type="dxa" w:w="252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sha256.cpp</w:t>
            </w:r>
          </w:p>
        </w:tc>
        <w:tc>
          <w:tcPr>
            <w:tcW w:type="dxa" w:w="698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Dependency-free content hashing for native records</w:t>
            </w:r>
          </w:p>
        </w:tc>
      </w:tr>
      <w:tr>
        <w:trPr>
          <w:cantSplit/>
        </w:trPr>
        <w:tc>
          <w:tcPr>
            <w:tcW w:type="dxa" w:w="252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ugts-chess2</w:t>
            </w:r>
          </w:p>
        </w:tc>
        <w:tc>
          <w:tcPr>
            <w:tcW w:type="dxa" w:w="698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info, selftest, perft, search, mate, root-shards and retro-demo</w:t>
            </w:r>
          </w:p>
        </w:tc>
      </w:tr>
      <w:tr>
        <w:trPr>
          <w:cantSplit/>
        </w:trPr>
        <w:tc>
          <w:tcPr>
            <w:tcW w:type="dxa" w:w="252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ugts-chess-gpu</w:t>
            </w:r>
          </w:p>
        </w:tc>
        <w:tc>
          <w:tcPr>
            <w:tcW w:type="dxa" w:w="698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device-info, packed batch generation and CPU/CUDA self-test</w:t>
            </w:r>
          </w:p>
        </w:tc>
      </w:tr>
    </w:tbl>
    <w:tbl>
      <w:tblPr>
        <w:tblW w:type="auto" w:w="0"/>
        <w:jc w:val="center"/>
        <w:tblLayout w:type="fixed"/>
        <w:tblLook w:firstColumn="1" w:firstRow="1" w:lastColumn="0" w:lastRow="0" w:noHBand="0" w:noVBand="1" w:val="04A0"/>
      </w:tblPr>
      <w:tblGrid>
        <w:gridCol w:w="9978"/>
      </w:tblGrid>
      <w:tr>
        <w:trPr>
          <w:cantSplit/>
          <w:tblHeader/>
        </w:trPr>
        <w:tc>
          <w:tcPr>
            <w:tcW w:type="dxa" w:w="9720"/>
            <w:shd w:fill="EEF4FF"/>
            <w:tcBorders>
              <w:top w:val="single" w:sz="10" w:color="4568DC"/>
              <w:left w:val="single" w:sz="18" w:color="4568DC"/>
              <w:bottom w:val="single" w:sz="10" w:color="4568DC"/>
              <w:right w:val="single" w:sz="10" w:color="4568DC"/>
            </w:tcBorders>
            <w:tcMar>
              <w:top w:w="90" w:type="dxa"/>
              <w:start w:w="125" w:type="dxa"/>
              <w:bottom w:w="90" w:type="dxa"/>
              <w:end w:w="125" w:type="dxa"/>
            </w:tcMar>
          </w:tcPr>
          <w:p>
            <w:pPr>
              <w:spacing w:after="40"/>
            </w:pPr>
            <w:r>
              <w:rPr>
                <w:b/>
                <w:color w:val="4568DC"/>
                <w:sz w:val="18"/>
              </w:rPr>
              <w:t>CROSS-IMPLEMENTATION PURPOSE</w:t>
            </w:r>
          </w:p>
          <w:p>
            <w:pPr>
              <w:spacing w:after="0"/>
            </w:pPr>
            <w:r>
              <w:t>The C++ layer is not merely a speed port. It provides a second executable implementation for perft, move proposals and fixed-point behavior, enabling differential checks before CUDA results are admitted.</w:t>
            </w:r>
          </w:p>
        </w:tc>
      </w:tr>
    </w:tbl>
    <w:p>
      <w:r>
        <w:br w:type="page"/>
      </w:r>
    </w:p>
    <w:p>
      <w:pPr>
        <w:pStyle w:val="Heading1"/>
      </w:pPr>
      <w:r>
        <w:t>17. Packed Position and Move Proposal Protocol</w:t>
      </w:r>
    </w:p>
    <w:p>
      <w:pPr>
        <w:pStyle w:val="SectionLead"/>
      </w:pPr>
      <w:r>
        <w:t>The wire format is simple enough to inspect, batch and compare across CPU and CUDA backends.</w:t>
      </w:r>
    </w:p>
    <w:p>
      <w:pPr>
        <w:spacing w:after="60"/>
        <w:jc w:val="center"/>
      </w:pPr>
      <w:r>
        <w:drawing>
          <wp:inline xmlns:a="http://schemas.openxmlformats.org/drawingml/2006/main" xmlns:pic="http://schemas.openxmlformats.org/drawingml/2006/picture">
            <wp:extent cx="6144768" cy="2850607"/>
            <wp:docPr id="15" name="Picture 15" descr="Packed position batch and independent Python comparison" title="gpu_protocol.png"/>
            <wp:cNvGraphicFramePr>
              <a:graphicFrameLocks noChangeAspect="1"/>
            </wp:cNvGraphicFramePr>
            <a:graphic>
              <a:graphicData uri="http://schemas.openxmlformats.org/drawingml/2006/picture">
                <pic:pic>
                  <pic:nvPicPr>
                    <pic:cNvPr id="0" name="gpu_protocol.png"/>
                    <pic:cNvPicPr/>
                  </pic:nvPicPr>
                  <pic:blipFill>
                    <a:blip r:embed="rId25"/>
                    <a:stretch>
                      <a:fillRect/>
                    </a:stretch>
                  </pic:blipFill>
                  <pic:spPr>
                    <a:xfrm>
                      <a:off x="0" y="0"/>
                      <a:ext cx="6144768" cy="2850607"/>
                    </a:xfrm>
                    <a:prstGeom prst="rect"/>
                  </pic:spPr>
                </pic:pic>
              </a:graphicData>
            </a:graphic>
          </wp:inline>
        </w:drawing>
      </w:r>
    </w:p>
    <w:p>
      <w:pPr>
        <w:pStyle w:val="FigureCaption"/>
        <w:jc w:val="center"/>
      </w:pPr>
      <w:r>
        <w:rPr>
          <w:b/>
        </w:rPr>
        <w:t xml:space="preserve">Figure 14. </w:t>
      </w:r>
      <w:r>
        <w:t>The simple kernel emits pseudo/legal candidates into a versioned binary batch; the Python oracle compares exact legal outputs.</w:t>
      </w:r>
    </w:p>
    <w:tbl>
      <w:tblPr>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944"/>
            <w:shd w:fill="0B1736"/>
            <w:tcMar>
              <w:top w:w="55" w:type="dxa"/>
              <w:start w:w="65" w:type="dxa"/>
              <w:bottom w:w="55" w:type="dxa"/>
              <w:end w:w="65" w:type="dxa"/>
            </w:tcMar>
          </w:tcPr>
          <w:p>
            <w:r>
              <w:rPr>
                <w:b/>
                <w:color w:val="FFFFFF"/>
                <w:sz w:val="15"/>
              </w:rPr>
              <w:t>Item</w:t>
            </w:r>
          </w:p>
        </w:tc>
        <w:tc>
          <w:tcPr>
            <w:tcW w:type="dxa" w:w="1440"/>
            <w:shd w:fill="0B1736"/>
            <w:tcMar>
              <w:top w:w="55" w:type="dxa"/>
              <w:start w:w="65" w:type="dxa"/>
              <w:bottom w:w="55" w:type="dxa"/>
              <w:end w:w="65" w:type="dxa"/>
            </w:tcMar>
          </w:tcPr>
          <w:p>
            <w:r>
              <w:rPr>
                <w:b/>
                <w:color w:val="FFFFFF"/>
                <w:sz w:val="15"/>
              </w:rPr>
              <w:t>Size/class</w:t>
            </w:r>
          </w:p>
        </w:tc>
        <w:tc>
          <w:tcPr>
            <w:tcW w:type="dxa" w:w="6120"/>
            <w:shd w:fill="0B1736"/>
            <w:tcMar>
              <w:top w:w="55" w:type="dxa"/>
              <w:start w:w="65" w:type="dxa"/>
              <w:bottom w:w="55" w:type="dxa"/>
              <w:end w:w="65" w:type="dxa"/>
            </w:tcMar>
          </w:tcPr>
          <w:p>
            <w:r>
              <w:rPr>
                <w:b/>
                <w:color w:val="FFFFFF"/>
                <w:sz w:val="15"/>
              </w:rPr>
              <w:t>Contract</w:t>
            </w:r>
          </w:p>
        </w:tc>
      </w:tr>
      <w:tr>
        <w:trPr>
          <w:cantSplit/>
        </w:trPr>
        <w:tc>
          <w:tcPr>
            <w:tcW w:type="dxa" w:w="194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PackedPosition</w:t>
            </w:r>
          </w:p>
        </w:tc>
        <w:tc>
          <w:tcPr>
            <w:tcW w:type="dxa" w:w="144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64 bytes</w:t>
            </w:r>
          </w:p>
        </w:tc>
        <w:tc>
          <w:tcPr>
            <w:tcW w:type="dxa" w:w="612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12 bitboards plus turn/rights/en-passant/clock/reserved fields</w:t>
            </w:r>
          </w:p>
        </w:tc>
      </w:tr>
      <w:tr>
        <w:trPr>
          <w:cantSplit/>
        </w:trPr>
        <w:tc>
          <w:tcPr>
            <w:tcW w:type="dxa" w:w="194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Packed move</w:t>
            </w:r>
          </w:p>
        </w:tc>
        <w:tc>
          <w:tcPr>
            <w:tcW w:type="dxa" w:w="144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16 bits</w:t>
            </w:r>
          </w:p>
        </w:tc>
        <w:tc>
          <w:tcPr>
            <w:tcW w:type="dxa" w:w="612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6 source bits, 6 target bits, 3 promotion bits, spare version space</w:t>
            </w:r>
          </w:p>
        </w:tc>
      </w:tr>
      <w:tr>
        <w:trPr>
          <w:cantSplit/>
        </w:trPr>
        <w:tc>
          <w:tcPr>
            <w:tcW w:type="dxa" w:w="194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Input file</w:t>
            </w:r>
          </w:p>
        </w:tc>
        <w:tc>
          <w:tcPr>
            <w:tcW w:type="dxa" w:w="144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UGCB</w:t>
            </w:r>
          </w:p>
        </w:tc>
        <w:tc>
          <w:tcPr>
            <w:tcW w:type="dxa" w:w="612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Header, record size/count and contiguous position records</w:t>
            </w:r>
          </w:p>
        </w:tc>
      </w:tr>
      <w:tr>
        <w:trPr>
          <w:cantSplit/>
        </w:trPr>
        <w:tc>
          <w:tcPr>
            <w:tcW w:type="dxa" w:w="194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Output file</w:t>
            </w:r>
          </w:p>
        </w:tc>
        <w:tc>
          <w:tcPr>
            <w:tcW w:type="dxa" w:w="144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UGMV</w:t>
            </w:r>
          </w:p>
        </w:tc>
        <w:tc>
          <w:tcPr>
            <w:tcW w:type="dxa" w:w="612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Per-position counts plus up to 256 encoded moves each</w:t>
            </w:r>
          </w:p>
        </w:tc>
      </w:tr>
      <w:tr>
        <w:trPr>
          <w:cantSplit/>
        </w:trPr>
        <w:tc>
          <w:tcPr>
            <w:tcW w:type="dxa" w:w="194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Ordering</w:t>
            </w:r>
          </w:p>
        </w:tc>
        <w:tc>
          <w:tcPr>
            <w:tcW w:type="dxa" w:w="144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Deterministic</w:t>
            </w:r>
          </w:p>
        </w:tc>
        <w:tc>
          <w:tcPr>
            <w:tcW w:type="dxa" w:w="612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Sorted/normalized before differential comparison</w:t>
            </w:r>
          </w:p>
        </w:tc>
      </w:tr>
      <w:tr>
        <w:trPr>
          <w:cantSplit/>
        </w:trPr>
        <w:tc>
          <w:tcPr>
            <w:tcW w:type="dxa" w:w="194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Authority</w:t>
            </w:r>
          </w:p>
        </w:tc>
        <w:tc>
          <w:tcPr>
            <w:tcW w:type="dxa" w:w="144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Proposal only</w:t>
            </w:r>
          </w:p>
        </w:tc>
        <w:tc>
          <w:tcPr>
            <w:tcW w:type="dxa" w:w="612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Python exact legal moves remain the captured comparison oracle</w:t>
            </w:r>
          </w:p>
        </w:tc>
      </w:tr>
    </w:tbl>
    <w:tbl>
      <w:tblPr>
        <w:tblW w:type="auto" w:w="0"/>
        <w:jc w:val="center"/>
        <w:tblLayout w:type="fixed"/>
        <w:tblLook w:firstColumn="1" w:firstRow="1" w:lastColumn="0" w:lastRow="0" w:noHBand="0" w:noVBand="1" w:val="04A0"/>
      </w:tblPr>
      <w:tblGrid>
        <w:gridCol w:w="9978"/>
      </w:tblGrid>
      <w:tr>
        <w:trPr>
          <w:cantSplit/>
          <w:tblHeader/>
        </w:trPr>
        <w:tc>
          <w:tcPr>
            <w:tcW w:type="dxa" w:w="9720"/>
            <w:shd w:fill="EAF8F2"/>
            <w:tcBorders>
              <w:top w:val="single" w:sz="10" w:color="2AA876"/>
              <w:left w:val="single" w:sz="18" w:color="2AA876"/>
              <w:bottom w:val="single" w:sz="10" w:color="2AA876"/>
              <w:right w:val="single" w:sz="10" w:color="2AA876"/>
            </w:tcBorders>
            <w:tcMar>
              <w:top w:w="90" w:type="dxa"/>
              <w:start w:w="125" w:type="dxa"/>
              <w:bottom w:w="90" w:type="dxa"/>
              <w:end w:w="125" w:type="dxa"/>
            </w:tcMar>
          </w:tcPr>
          <w:p>
            <w:pPr>
              <w:spacing w:after="40"/>
            </w:pPr>
            <w:r>
              <w:rPr>
                <w:b/>
                <w:color w:val="2AA876"/>
                <w:sz w:val="18"/>
              </w:rPr>
              <w:t>CAPTURED FALLBACK</w:t>
            </w:r>
          </w:p>
          <w:p>
            <w:pPr>
              <w:spacing w:after="0"/>
            </w:pPr>
            <w:r>
              <w:t>The host CPU backend processed 4 positions and 97 moves with zero mismatches. CUDA compilation and physical-device comparison remain pending.</w:t>
            </w:r>
          </w:p>
        </w:tc>
      </w:tr>
    </w:tbl>
    <w:p>
      <w:r>
        <w:br w:type="page"/>
      </w:r>
    </w:p>
    <w:p>
      <w:pPr>
        <w:pStyle w:val="Heading1"/>
      </w:pPr>
      <w:r>
        <w:t>18. RTX 5070 Ti Laptop Execution Profile</w:t>
      </w:r>
    </w:p>
    <w:p>
      <w:pPr>
        <w:pStyle w:val="SectionLead"/>
      </w:pPr>
      <w:r>
        <w:t>Official product identity is a starting constraint; runtime inspection is the authoritative device record.</w:t>
      </w:r>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2880"/>
            <w:shd w:fill="0B1736"/>
            <w:tcMar>
              <w:top w:w="55" w:type="dxa"/>
              <w:start w:w="65" w:type="dxa"/>
              <w:bottom w:w="55" w:type="dxa"/>
              <w:end w:w="65" w:type="dxa"/>
            </w:tcMar>
          </w:tcPr>
          <w:p>
            <w:r>
              <w:rPr>
                <w:b/>
                <w:color w:val="FFFFFF"/>
                <w:sz w:val="16"/>
              </w:rPr>
              <w:t>Profile field</w:t>
            </w:r>
          </w:p>
        </w:tc>
        <w:tc>
          <w:tcPr>
            <w:tcW w:type="dxa" w:w="6624"/>
            <w:shd w:fill="0B1736"/>
            <w:tcMar>
              <w:top w:w="55" w:type="dxa"/>
              <w:start w:w="65" w:type="dxa"/>
              <w:bottom w:w="55" w:type="dxa"/>
              <w:end w:w="65" w:type="dxa"/>
            </w:tcMar>
          </w:tcPr>
          <w:p>
            <w:r>
              <w:rPr>
                <w:b/>
                <w:color w:val="FFFFFF"/>
                <w:sz w:val="16"/>
              </w:rPr>
              <w:t>Value</w:t>
            </w:r>
          </w:p>
        </w:tc>
      </w:tr>
      <w:tr>
        <w:trPr>
          <w:cantSplit/>
        </w:trPr>
        <w:tc>
          <w:tcPr>
            <w:tcW w:type="dxa" w:w="288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Product</w:t>
            </w:r>
          </w:p>
        </w:tc>
        <w:tc>
          <w:tcPr>
            <w:tcW w:type="dxa" w:w="662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GeForce RTX 5070 Ti Laptop GPU</w:t>
            </w:r>
          </w:p>
        </w:tc>
      </w:tr>
      <w:tr>
        <w:trPr>
          <w:cantSplit/>
        </w:trPr>
        <w:tc>
          <w:tcPr>
            <w:tcW w:type="dxa" w:w="288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Architecture family</w:t>
            </w:r>
          </w:p>
        </w:tc>
        <w:tc>
          <w:tcPr>
            <w:tcW w:type="dxa" w:w="662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NVIDIA Blackwell GeForce laptop</w:t>
            </w:r>
          </w:p>
        </w:tc>
      </w:tr>
      <w:tr>
        <w:trPr>
          <w:cantSplit/>
        </w:trPr>
        <w:tc>
          <w:tcPr>
            <w:tcW w:type="dxa" w:w="288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CUDA cores</w:t>
            </w:r>
          </w:p>
        </w:tc>
        <w:tc>
          <w:tcPr>
            <w:tcW w:type="dxa" w:w="662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5,888</w:t>
            </w:r>
          </w:p>
        </w:tc>
      </w:tr>
      <w:tr>
        <w:trPr>
          <w:cantSplit/>
        </w:trPr>
        <w:tc>
          <w:tcPr>
            <w:tcW w:type="dxa" w:w="288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AI TOPS</w:t>
            </w:r>
          </w:p>
        </w:tc>
        <w:tc>
          <w:tcPr>
            <w:tcW w:type="dxa" w:w="662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992</w:t>
            </w:r>
          </w:p>
        </w:tc>
      </w:tr>
      <w:tr>
        <w:trPr>
          <w:cantSplit/>
        </w:trPr>
        <w:tc>
          <w:tcPr>
            <w:tcW w:type="dxa" w:w="288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Standard memory</w:t>
            </w:r>
          </w:p>
        </w:tc>
        <w:tc>
          <w:tcPr>
            <w:tcW w:type="dxa" w:w="662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12 GB GDDR7</w:t>
            </w:r>
          </w:p>
        </w:tc>
      </w:tr>
      <w:tr>
        <w:trPr>
          <w:cantSplit/>
        </w:trPr>
        <w:tc>
          <w:tcPr>
            <w:tcW w:type="dxa" w:w="288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CUDA compute capability</w:t>
            </w:r>
          </w:p>
        </w:tc>
        <w:tc>
          <w:tcPr>
            <w:tcW w:type="dxa" w:w="662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12.0</w:t>
            </w:r>
          </w:p>
        </w:tc>
      </w:tr>
      <w:tr>
        <w:trPr>
          <w:cantSplit/>
        </w:trPr>
        <w:tc>
          <w:tcPr>
            <w:tcW w:type="dxa" w:w="288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Native target</w:t>
            </w:r>
          </w:p>
        </w:tc>
        <w:tc>
          <w:tcPr>
            <w:tcW w:type="dxa" w:w="662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sm_120 / compute_120</w:t>
            </w:r>
          </w:p>
        </w:tc>
      </w:tr>
      <w:tr>
        <w:trPr>
          <w:cantSplit/>
        </w:trPr>
        <w:tc>
          <w:tcPr>
            <w:tcW w:type="dxa" w:w="288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Minimum package preset</w:t>
            </w:r>
          </w:p>
        </w:tc>
        <w:tc>
          <w:tcPr>
            <w:tcW w:type="dxa" w:w="662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CUDA Toolkit 12.8 or newer; CUDA 12.8 added compiler support for SM120</w:t>
            </w:r>
          </w:p>
        </w:tc>
      </w:tr>
    </w:tbl>
    <w:p>
      <w:pPr>
        <w:pStyle w:val="Heading2"/>
      </w:pPr>
      <w:r>
        <w:t>18.1 Runtime gate</w:t>
      </w:r>
    </w:p>
    <w:tbl>
      <w:tblPr>
        <w:tblW w:type="auto" w:w="0"/>
        <w:jc w:val="center"/>
        <w:tblLayout w:type="fixed"/>
        <w:tblLook w:firstColumn="1" w:firstRow="1" w:lastColumn="0" w:lastRow="0" w:noHBand="0" w:noVBand="1" w:val="04A0"/>
      </w:tblPr>
      <w:tblGrid>
        <w:gridCol w:w="9978"/>
      </w:tblGrid>
      <w:tr>
        <w:trPr>
          <w:cantSplit/>
          <w:tblHeader/>
        </w:trPr>
        <w:tc>
          <w:tcPr>
            <w:tcW w:type="dxa" w:w="9720"/>
            <w:shd w:fill="111C35"/>
            <w:tcBorders>
              <w:top w:val="single" w:sz="6" w:color="111C35"/>
              <w:left w:val="single" w:sz="6" w:color="111C35"/>
              <w:bottom w:val="single" w:sz="6" w:color="111C35"/>
              <w:right w:val="single" w:sz="6" w:color="111C35"/>
            </w:tcBorders>
            <w:tcMar>
              <w:top w:w="90" w:type="dxa"/>
              <w:start w:w="120" w:type="dxa"/>
              <w:bottom w:w="90" w:type="dxa"/>
              <w:end w:w="120" w:type="dxa"/>
            </w:tcMar>
          </w:tcPr>
          <w:p>
            <w:pPr>
              <w:spacing w:after="0"/>
            </w:pPr>
            <w:r>
              <w:rPr>
                <w:rFonts w:ascii="Liberation Mono" w:hAnsi="Liberation Mono"/>
                <w:color w:val="EAF2FF"/>
                <w:sz w:val="15"/>
              </w:rPr>
              <w:t>nvidia-smi --query-gpu=name,memory.total,memory.free,compute_cap --format=csv</w:t>
              <w:br/>
              <w:t>ugts-chess-gpu device-info</w:t>
              <w:br/>
              <w:t>nvcc --version</w:t>
            </w:r>
          </w:p>
        </w:tc>
      </w:tr>
    </w:tbl>
    <w:p>
      <w:pPr>
        <w:pStyle w:val="Bullet"/>
        <w:spacing w:after="60"/>
        <w:ind w:left="346" w:hanging="216"/>
      </w:pPr>
      <w:r>
        <w:rPr>
          <w:b/>
          <w:color w:val="2AA876"/>
        </w:rPr>
        <w:t xml:space="preserve">• </w:t>
      </w:r>
      <w:r>
        <w:t>Laptop power limits, clocks, free VRAM, cooling and driver/toolkit combinations vary by model and power mode.</w:t>
      </w:r>
    </w:p>
    <w:p>
      <w:pPr>
        <w:pStyle w:val="Bullet"/>
        <w:spacing w:after="60"/>
        <w:ind w:left="346" w:hanging="216"/>
      </w:pPr>
      <w:r>
        <w:rPr>
          <w:b/>
          <w:color w:val="2AA876"/>
        </w:rPr>
        <w:t xml:space="preserve">• </w:t>
      </w:r>
      <w:r>
        <w:t>The build preset targets SM120. Datacenter Blackwell SM100a architecture-conditional kernels are not assumed compatible with GeForce RTX 50-series SM120.</w:t>
      </w:r>
    </w:p>
    <w:p>
      <w:pPr>
        <w:pStyle w:val="Bullet"/>
        <w:spacing w:after="60"/>
        <w:ind w:left="346" w:hanging="216"/>
      </w:pPr>
      <w:r>
        <w:rPr>
          <w:b/>
          <w:color w:val="2AA876"/>
        </w:rPr>
        <w:t xml:space="preserve">• </w:t>
      </w:r>
      <w:r>
        <w:t>The package records the actual device name, compute capability, memory, SM count, warp size and maximum threads before a benchmark is promoted.</w:t>
      </w:r>
    </w:p>
    <w:p>
      <w:pPr>
        <w:pStyle w:val="SourceNote"/>
      </w:pPr>
      <w:r>
        <w:rPr>
          <w:b/>
        </w:rPr>
        <w:t xml:space="preserve">Grounding: </w:t>
      </w:r>
      <w:r>
        <w:t>Official NVIDIA GeForce RTX 50 Series laptop specifications, CUDA GPU Compute Capability mapping, CUDA 12.8 release notes, Blackwell compatibility guide and CUTLASS architecture note.</w:t>
      </w:r>
    </w:p>
    <w:p>
      <w:r>
        <w:br w:type="page"/>
      </w:r>
    </w:p>
    <w:p>
      <w:pPr>
        <w:pStyle w:val="Heading1"/>
      </w:pPr>
      <w:r>
        <w:t>19. VRAM Budget and Out-of-Core Design</w:t>
      </w:r>
    </w:p>
    <w:p>
      <w:pPr>
        <w:pStyle w:val="SectionLead"/>
      </w:pPr>
      <w:r>
        <w:t>The nominal 12 GB frame buffer is a bounded cache, not a complete home for the chess proof graph.</w:t>
      </w:r>
    </w:p>
    <w:p>
      <w:pPr>
        <w:spacing w:after="60"/>
        <w:jc w:val="center"/>
      </w:pPr>
      <w:r>
        <w:drawing>
          <wp:inline xmlns:a="http://schemas.openxmlformats.org/drawingml/2006/main" xmlns:pic="http://schemas.openxmlformats.org/drawingml/2006/picture">
            <wp:extent cx="6144768" cy="2694779"/>
            <wp:docPr id="16" name="Picture 16" descr="Nine GiB solver allocation and three GiB safety headroom" title="rtx_memory.png"/>
            <wp:cNvGraphicFramePr>
              <a:graphicFrameLocks noChangeAspect="1"/>
            </wp:cNvGraphicFramePr>
            <a:graphic>
              <a:graphicData uri="http://schemas.openxmlformats.org/drawingml/2006/picture">
                <pic:pic>
                  <pic:nvPicPr>
                    <pic:cNvPr id="0" name="rtx_memory.png"/>
                    <pic:cNvPicPr/>
                  </pic:nvPicPr>
                  <pic:blipFill>
                    <a:blip r:embed="rId26"/>
                    <a:stretch>
                      <a:fillRect/>
                    </a:stretch>
                  </pic:blipFill>
                  <pic:spPr>
                    <a:xfrm>
                      <a:off x="0" y="0"/>
                      <a:ext cx="6144768" cy="2694779"/>
                    </a:xfrm>
                    <a:prstGeom prst="rect"/>
                  </pic:spPr>
                </pic:pic>
              </a:graphicData>
            </a:graphic>
          </wp:inline>
        </w:drawing>
      </w:r>
    </w:p>
    <w:p>
      <w:pPr>
        <w:pStyle w:val="FigureCaption"/>
        <w:jc w:val="center"/>
      </w:pPr>
      <w:r>
        <w:rPr>
          <w:b/>
        </w:rPr>
        <w:t xml:space="preserve">Figure 15. </w:t>
      </w:r>
      <w:r>
        <w:t>The checked-in starting profile reserves 3 GiB and assigns 9 GiB to solver structures.</w:t>
      </w:r>
    </w:p>
    <w:tbl>
      <w:tblPr>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2520"/>
            <w:shd w:fill="0B1736"/>
            <w:tcMar>
              <w:top w:w="55" w:type="dxa"/>
              <w:start w:w="65" w:type="dxa"/>
              <w:bottom w:w="55" w:type="dxa"/>
              <w:end w:w="65" w:type="dxa"/>
            </w:tcMar>
          </w:tcPr>
          <w:p>
            <w:r>
              <w:rPr>
                <w:b/>
                <w:color w:val="FFFFFF"/>
                <w:sz w:val="15"/>
              </w:rPr>
              <w:t>Allocation</w:t>
            </w:r>
          </w:p>
        </w:tc>
        <w:tc>
          <w:tcPr>
            <w:tcW w:type="dxa" w:w="1728"/>
            <w:shd w:fill="0B1736"/>
            <w:tcMar>
              <w:top w:w="55" w:type="dxa"/>
              <w:start w:w="65" w:type="dxa"/>
              <w:bottom w:w="55" w:type="dxa"/>
              <w:end w:w="65" w:type="dxa"/>
            </w:tcMar>
          </w:tcPr>
          <w:p>
            <w:r>
              <w:rPr>
                <w:b/>
                <w:color w:val="FFFFFF"/>
                <w:sz w:val="15"/>
              </w:rPr>
              <w:t>Starting size</w:t>
            </w:r>
          </w:p>
        </w:tc>
        <w:tc>
          <w:tcPr>
            <w:tcW w:type="dxa" w:w="5256"/>
            <w:shd w:fill="0B1736"/>
            <w:tcMar>
              <w:top w:w="55" w:type="dxa"/>
              <w:start w:w="65" w:type="dxa"/>
              <w:bottom w:w="55" w:type="dxa"/>
              <w:end w:w="65" w:type="dxa"/>
            </w:tcMar>
          </w:tcPr>
          <w:p>
            <w:r>
              <w:rPr>
                <w:b/>
                <w:color w:val="FFFFFF"/>
                <w:sz w:val="15"/>
              </w:rPr>
              <w:t>Purpose</w:t>
            </w:r>
          </w:p>
        </w:tc>
      </w:tr>
      <w:tr>
        <w:trPr>
          <w:cantSplit/>
        </w:trPr>
        <w:tc>
          <w:tcPr>
            <w:tcW w:type="dxa" w:w="252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Proof/transposition index</w:t>
            </w:r>
          </w:p>
        </w:tc>
        <w:tc>
          <w:tcPr>
            <w:tcW w:type="dxa" w:w="172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5,120 MiB</w:t>
            </w:r>
          </w:p>
        </w:tc>
        <w:tc>
          <w:tcPr>
            <w:tcW w:type="dxa" w:w="525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Content-addressed lookup and verified-state cache</w:t>
            </w:r>
          </w:p>
        </w:tc>
      </w:tr>
      <w:tr>
        <w:trPr>
          <w:cantSplit/>
        </w:trPr>
        <w:tc>
          <w:tcPr>
            <w:tcW w:type="dxa" w:w="252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Frontier</w:t>
            </w:r>
          </w:p>
        </w:tc>
        <w:tc>
          <w:tcPr>
            <w:tcW w:type="dxa" w:w="172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1,024 MiB</w:t>
            </w:r>
          </w:p>
        </w:tc>
        <w:tc>
          <w:tcPr>
            <w:tcW w:type="dxa" w:w="525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Current batch of unresolved positions</w:t>
            </w:r>
          </w:p>
        </w:tc>
      </w:tr>
      <w:tr>
        <w:trPr>
          <w:cantSplit/>
        </w:trPr>
        <w:tc>
          <w:tcPr>
            <w:tcW w:type="dxa" w:w="252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Move buffers</w:t>
            </w:r>
          </w:p>
        </w:tc>
        <w:tc>
          <w:tcPr>
            <w:tcW w:type="dxa" w:w="172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1,024 MiB</w:t>
            </w:r>
          </w:p>
        </w:tc>
        <w:tc>
          <w:tcPr>
            <w:tcW w:type="dxa" w:w="525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Counts and 16-bit proposal arrays</w:t>
            </w:r>
          </w:p>
        </w:tc>
      </w:tr>
      <w:tr>
        <w:trPr>
          <w:cantSplit/>
        </w:trPr>
        <w:tc>
          <w:tcPr>
            <w:tcW w:type="dxa" w:w="252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Retrograde</w:t>
            </w:r>
          </w:p>
        </w:tc>
        <w:tc>
          <w:tcPr>
            <w:tcW w:type="dxa" w:w="172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1,024 MiB</w:t>
            </w:r>
          </w:p>
        </w:tc>
        <w:tc>
          <w:tcPr>
            <w:tcW w:type="dxa" w:w="525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Outcome vectors and graph work arrays</w:t>
            </w:r>
          </w:p>
        </w:tc>
      </w:tr>
      <w:tr>
        <w:trPr>
          <w:cantSplit/>
        </w:trPr>
        <w:tc>
          <w:tcPr>
            <w:tcW w:type="dxa" w:w="252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Checkpoint</w:t>
            </w:r>
          </w:p>
        </w:tc>
        <w:tc>
          <w:tcPr>
            <w:tcW w:type="dxa" w:w="172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512 MiB</w:t>
            </w:r>
          </w:p>
        </w:tc>
        <w:tc>
          <w:tcPr>
            <w:tcW w:type="dxa" w:w="525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Device-to-host export and integrity staging</w:t>
            </w:r>
          </w:p>
        </w:tc>
      </w:tr>
      <w:tr>
        <w:trPr>
          <w:cantSplit/>
        </w:trPr>
        <w:tc>
          <w:tcPr>
            <w:tcW w:type="dxa" w:w="252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Scratch</w:t>
            </w:r>
          </w:p>
        </w:tc>
        <w:tc>
          <w:tcPr>
            <w:tcW w:type="dxa" w:w="172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512 MiB</w:t>
            </w:r>
          </w:p>
        </w:tc>
        <w:tc>
          <w:tcPr>
            <w:tcW w:type="dxa" w:w="525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Temporary scans, prefix sums and error safety</w:t>
            </w:r>
          </w:p>
        </w:tc>
      </w:tr>
      <w:tr>
        <w:trPr>
          <w:cantSplit/>
        </w:trPr>
        <w:tc>
          <w:tcPr>
            <w:tcW w:type="dxa" w:w="252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Reserved headroom</w:t>
            </w:r>
          </w:p>
        </w:tc>
        <w:tc>
          <w:tcPr>
            <w:tcW w:type="dxa" w:w="172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3,072 MiB</w:t>
            </w:r>
          </w:p>
        </w:tc>
        <w:tc>
          <w:tcPr>
            <w:tcW w:type="dxa" w:w="525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Driver/display/fragmentation/thermal fallback margin</w:t>
            </w:r>
          </w:p>
        </w:tc>
      </w:tr>
    </w:tbl>
    <w:tbl>
      <w:tblPr>
        <w:tblW w:type="auto" w:w="0"/>
        <w:jc w:val="center"/>
        <w:tblLayout w:type="fixed"/>
        <w:tblLook w:firstColumn="1" w:firstRow="1" w:lastColumn="0" w:lastRow="0" w:noHBand="0" w:noVBand="1" w:val="04A0"/>
      </w:tblPr>
      <w:tblGrid>
        <w:gridCol w:w="9978"/>
      </w:tblGrid>
      <w:tr>
        <w:trPr>
          <w:cantSplit/>
          <w:tblHeader/>
        </w:trPr>
        <w:tc>
          <w:tcPr>
            <w:tcW w:type="dxa" w:w="9720"/>
            <w:shd w:fill="FFF7E8"/>
            <w:tcBorders>
              <w:top w:val="single" w:sz="10" w:color="E0A819"/>
              <w:left w:val="single" w:sz="18" w:color="E0A819"/>
              <w:bottom w:val="single" w:sz="10" w:color="E0A819"/>
              <w:right w:val="single" w:sz="10" w:color="E0A819"/>
            </w:tcBorders>
            <w:tcMar>
              <w:top w:w="90" w:type="dxa"/>
              <w:start w:w="125" w:type="dxa"/>
              <w:bottom w:w="90" w:type="dxa"/>
              <w:end w:w="125" w:type="dxa"/>
            </w:tcMar>
          </w:tcPr>
          <w:p>
            <w:pPr>
              <w:spacing w:after="40"/>
            </w:pPr>
            <w:r>
              <w:rPr>
                <w:b/>
                <w:color w:val="E0A819"/>
                <w:sz w:val="18"/>
              </w:rPr>
              <w:t>CAPACITY REALITY</w:t>
            </w:r>
          </w:p>
          <w:p>
            <w:pPr>
              <w:spacing w:after="0"/>
            </w:pPr>
            <w:r>
              <w:t>Even 9 GiB divided by the 64-byte exchange record holds at most about 151 million records before indexes, move arrays, histories and certificates. A proof-scale campaign must stream, partition, checkpoint and persist to disk.</w:t>
            </w:r>
          </w:p>
        </w:tc>
      </w:tr>
    </w:tbl>
    <w:p>
      <w:r>
        <w:br w:type="page"/>
      </w:r>
    </w:p>
    <w:p>
      <w:pPr>
        <w:pStyle w:val="Heading1"/>
      </w:pPr>
      <w:r>
        <w:t>20. CUDA Kernels and Correctness Boundary</w:t>
      </w:r>
    </w:p>
    <w:p>
      <w:pPr>
        <w:pStyle w:val="SectionLead"/>
      </w:pPr>
      <w:r>
        <w:t>The first GPU code is deliberately simple so that equal-output validation comes before optimization.</w:t>
      </w:r>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2520"/>
            <w:shd w:fill="0B1736"/>
            <w:tcMar>
              <w:top w:w="55" w:type="dxa"/>
              <w:start w:w="65" w:type="dxa"/>
              <w:bottom w:w="55" w:type="dxa"/>
              <w:end w:w="65" w:type="dxa"/>
            </w:tcMar>
          </w:tcPr>
          <w:p>
            <w:r>
              <w:rPr>
                <w:b/>
                <w:color w:val="FFFFFF"/>
                <w:sz w:val="15"/>
              </w:rPr>
              <w:t>Component</w:t>
            </w:r>
          </w:p>
        </w:tc>
        <w:tc>
          <w:tcPr>
            <w:tcW w:type="dxa" w:w="6984"/>
            <w:shd w:fill="0B1736"/>
            <w:tcMar>
              <w:top w:w="55" w:type="dxa"/>
              <w:start w:w="65" w:type="dxa"/>
              <w:bottom w:w="55" w:type="dxa"/>
              <w:end w:w="65" w:type="dxa"/>
            </w:tcMar>
          </w:tcPr>
          <w:p>
            <w:r>
              <w:rPr>
                <w:b/>
                <w:color w:val="FFFFFF"/>
                <w:sz w:val="15"/>
              </w:rPr>
              <w:t>Current implementation</w:t>
            </w:r>
          </w:p>
        </w:tc>
      </w:tr>
      <w:tr>
        <w:trPr>
          <w:cantSplit/>
        </w:trPr>
        <w:tc>
          <w:tcPr>
            <w:tcW w:type="dxa" w:w="252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Scalar batch expander</w:t>
            </w:r>
          </w:p>
        </w:tc>
        <w:tc>
          <w:tcPr>
            <w:tcW w:type="dxa" w:w="698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One packed position per thread; fixed 256-move slot; output compared with host oracle</w:t>
            </w:r>
          </w:p>
        </w:tc>
      </w:tr>
      <w:tr>
        <w:trPr>
          <w:cantSplit/>
        </w:trPr>
        <w:tc>
          <w:tcPr>
            <w:tcW w:type="dxa" w:w="252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Generic retrograde step</w:t>
            </w:r>
          </w:p>
        </w:tc>
        <w:tc>
          <w:tcPr>
            <w:tcW w:type="dxa" w:w="698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One graph node per thread; monotone UNKNOWN -&gt; WIN/LOSS propagation</w:t>
            </w:r>
          </w:p>
        </w:tc>
      </w:tr>
      <w:tr>
        <w:trPr>
          <w:cantSplit/>
        </w:trPr>
        <w:tc>
          <w:tcPr>
            <w:tcW w:type="dxa" w:w="252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Device inspector</w:t>
            </w:r>
          </w:p>
        </w:tc>
        <w:tc>
          <w:tcPr>
            <w:tcW w:type="dxa" w:w="698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Queries name, compute capability, total/free memory, SMs, warp and block limits</w:t>
            </w:r>
          </w:p>
        </w:tc>
      </w:tr>
      <w:tr>
        <w:trPr>
          <w:cantSplit/>
        </w:trPr>
        <w:tc>
          <w:tcPr>
            <w:tcW w:type="dxa" w:w="252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CPU fallback</w:t>
            </w:r>
          </w:p>
        </w:tc>
        <w:tc>
          <w:tcPr>
            <w:tcW w:type="dxa" w:w="698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Runs the identical batch protocol when CUDA is absent or rejected</w:t>
            </w:r>
          </w:p>
        </w:tc>
      </w:tr>
      <w:tr>
        <w:trPr>
          <w:cantSplit/>
        </w:trPr>
        <w:tc>
          <w:tcPr>
            <w:tcW w:type="dxa" w:w="252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CMake profile</w:t>
            </w:r>
          </w:p>
        </w:tc>
        <w:tc>
          <w:tcPr>
            <w:tcW w:type="dxa" w:w="698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UGTS_ENABLE_CUDA=ON; CMAKE_CUDA_ARCHITECTURES=120</w:t>
            </w:r>
          </w:p>
        </w:tc>
      </w:tr>
      <w:tr>
        <w:trPr>
          <w:cantSplit/>
        </w:trPr>
        <w:tc>
          <w:tcPr>
            <w:tcW w:type="dxa" w:w="252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Promotion gate</w:t>
            </w:r>
          </w:p>
        </w:tc>
        <w:tc>
          <w:tcPr>
            <w:tcW w:type="dxa" w:w="698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No mismatches, deterministic record order, full reconstructibility and independent proof checker</w:t>
            </w:r>
          </w:p>
        </w:tc>
      </w:tr>
    </w:tbl>
    <w:p>
      <w:pPr>
        <w:pStyle w:val="Heading2"/>
      </w:pPr>
      <w:r>
        <w:t>20.1 Optimization sequence after correctness</w:t>
      </w:r>
    </w:p>
    <w:p>
      <w:pPr>
        <w:pStyle w:val="Bullet"/>
        <w:spacing w:after="40"/>
        <w:ind w:left="403" w:hanging="317"/>
      </w:pPr>
      <w:r>
        <w:rPr>
          <w:b/>
          <w:color w:val="4568DC"/>
        </w:rPr>
        <w:t xml:space="preserve">1. </w:t>
      </w:r>
      <w:r>
        <w:t>Measure scalar kernel occupancy, transfer overhead and batch-size behavior on the actual laptop.</w:t>
      </w:r>
    </w:p>
    <w:p>
      <w:pPr>
        <w:pStyle w:val="Bullet"/>
        <w:spacing w:after="40"/>
        <w:ind w:left="403" w:hanging="317"/>
      </w:pPr>
      <w:r>
        <w:rPr>
          <w:b/>
          <w:color w:val="4568DC"/>
        </w:rPr>
        <w:t xml:space="preserve">2. </w:t>
      </w:r>
      <w:r>
        <w:t>Add warp-cooperative attack generation and prefix-sum compaction only behind the same binary protocol.</w:t>
      </w:r>
    </w:p>
    <w:p>
      <w:pPr>
        <w:pStyle w:val="Bullet"/>
        <w:spacing w:after="40"/>
        <w:ind w:left="403" w:hanging="317"/>
      </w:pPr>
      <w:r>
        <w:rPr>
          <w:b/>
          <w:color w:val="4568DC"/>
        </w:rPr>
        <w:t xml:space="preserve">3. </w:t>
      </w:r>
      <w:r>
        <w:t>Separate hot structure-of-arrays data from the 64-byte exchange record while retaining a total versioned decoder.</w:t>
      </w:r>
    </w:p>
    <w:p>
      <w:pPr>
        <w:pStyle w:val="Bullet"/>
        <w:spacing w:after="40"/>
        <w:ind w:left="403" w:hanging="317"/>
      </w:pPr>
      <w:r>
        <w:rPr>
          <w:b/>
          <w:color w:val="4568DC"/>
        </w:rPr>
        <w:t xml:space="preserve">4. </w:t>
      </w:r>
      <w:r>
        <w:t>Add asynchronous streams and double buffering; preserve deterministic per-position move ordering at the comparison boundary.</w:t>
      </w:r>
    </w:p>
    <w:p>
      <w:pPr>
        <w:pStyle w:val="Bullet"/>
        <w:spacing w:after="40"/>
        <w:ind w:left="403" w:hanging="317"/>
      </w:pPr>
      <w:r>
        <w:rPr>
          <w:b/>
          <w:color w:val="4568DC"/>
        </w:rPr>
        <w:t xml:space="preserve">5. </w:t>
      </w:r>
      <w:r>
        <w:t>Keep WDL certificate checking on an independent host path until a separately verified GPU checker exists.</w:t>
      </w:r>
    </w:p>
    <w:tbl>
      <w:tblPr>
        <w:tblW w:type="auto" w:w="0"/>
        <w:jc w:val="center"/>
        <w:tblLayout w:type="fixed"/>
        <w:tblLook w:firstColumn="1" w:firstRow="1" w:lastColumn="0" w:lastRow="0" w:noHBand="0" w:noVBand="1" w:val="04A0"/>
      </w:tblPr>
      <w:tblGrid>
        <w:gridCol w:w="9978"/>
      </w:tblGrid>
      <w:tr>
        <w:trPr>
          <w:cantSplit/>
          <w:tblHeader/>
        </w:trPr>
        <w:tc>
          <w:tcPr>
            <w:tcW w:type="dxa" w:w="9720"/>
            <w:shd w:fill="FFF4F2"/>
            <w:tcBorders>
              <w:top w:val="single" w:sz="10" w:color="C94C4C"/>
              <w:left w:val="single" w:sz="18" w:color="C94C4C"/>
              <w:bottom w:val="single" w:sz="10" w:color="C94C4C"/>
              <w:right w:val="single" w:sz="10" w:color="C94C4C"/>
            </w:tcBorders>
            <w:tcMar>
              <w:top w:w="90" w:type="dxa"/>
              <w:start w:w="125" w:type="dxa"/>
              <w:bottom w:w="90" w:type="dxa"/>
              <w:end w:w="125" w:type="dxa"/>
            </w:tcMar>
          </w:tcPr>
          <w:p>
            <w:pPr>
              <w:spacing w:after="40"/>
            </w:pPr>
            <w:r>
              <w:rPr>
                <w:b/>
                <w:color w:val="C94C4C"/>
                <w:sz w:val="18"/>
              </w:rPr>
              <w:t>PACKAGING EVIDENCE</w:t>
            </w:r>
          </w:p>
          <w:p>
            <w:pPr>
              <w:spacing w:after="0"/>
            </w:pPr>
            <w:r>
              <w:t>The delivery host had no nvcc and no physical RTX 5070 Ti. CUDA throughput, VRAM, power, temperature, clocks and long-run stability are intentionally unclaimed.</w:t>
            </w:r>
          </w:p>
        </w:tc>
      </w:tr>
    </w:tbl>
    <w:p>
      <w:r>
        <w:br w:type="page"/>
      </w:r>
    </w:p>
    <w:p>
      <w:pPr>
        <w:pStyle w:val="Heading1"/>
      </w:pPr>
      <w:r>
        <w:t>21. Codex Build, Measure and Promotion Workflow</w:t>
      </w:r>
    </w:p>
    <w:p>
      <w:pPr>
        <w:pStyle w:val="SectionLead"/>
      </w:pPr>
      <w:r>
        <w:t>The supplied scripts preserve device evidence under validation/device rather than overwriting host evidence.</w:t>
      </w:r>
    </w:p>
    <w:p>
      <w:pPr>
        <w:spacing w:after="60"/>
        <w:jc w:val="center"/>
      </w:pPr>
      <w:r>
        <w:drawing>
          <wp:inline xmlns:a="http://schemas.openxmlformats.org/drawingml/2006/main" xmlns:pic="http://schemas.openxmlformats.org/drawingml/2006/picture">
            <wp:extent cx="6144768" cy="3090747"/>
            <wp:docPr id="17" name="Picture 17" descr="Six-stage Codex workflow for building and promoting RTX results" title="codex_workflow.png"/>
            <wp:cNvGraphicFramePr>
              <a:graphicFrameLocks noChangeAspect="1"/>
            </wp:cNvGraphicFramePr>
            <a:graphic>
              <a:graphicData uri="http://schemas.openxmlformats.org/drawingml/2006/picture">
                <pic:pic>
                  <pic:nvPicPr>
                    <pic:cNvPr id="0" name="codex_workflow.png"/>
                    <pic:cNvPicPr/>
                  </pic:nvPicPr>
                  <pic:blipFill>
                    <a:blip r:embed="rId27"/>
                    <a:stretch>
                      <a:fillRect/>
                    </a:stretch>
                  </pic:blipFill>
                  <pic:spPr>
                    <a:xfrm>
                      <a:off x="0" y="0"/>
                      <a:ext cx="6144768" cy="3090747"/>
                    </a:xfrm>
                    <a:prstGeom prst="rect"/>
                  </pic:spPr>
                </pic:pic>
              </a:graphicData>
            </a:graphic>
          </wp:inline>
        </w:drawing>
      </w:r>
    </w:p>
    <w:p>
      <w:pPr>
        <w:pStyle w:val="FigureCaption"/>
        <w:jc w:val="center"/>
      </w:pPr>
      <w:r>
        <w:rPr>
          <w:b/>
        </w:rPr>
        <w:t xml:space="preserve">Figure 16. </w:t>
      </w:r>
      <w:r>
        <w:t>Device capture, SM120 build, differential testing, measurement, proof-DAG extension and shard closure are separate gates.</w:t>
      </w:r>
    </w:p>
    <w:p>
      <w:pPr>
        <w:pStyle w:val="Heading2"/>
      </w:pPr>
      <w:r>
        <w:t>21.1 First commands on Windows</w:t>
      </w:r>
    </w:p>
    <w:tbl>
      <w:tblPr>
        <w:tblW w:type="auto" w:w="0"/>
        <w:jc w:val="center"/>
        <w:tblLayout w:type="fixed"/>
        <w:tblLook w:firstColumn="1" w:firstRow="1" w:lastColumn="0" w:lastRow="0" w:noHBand="0" w:noVBand="1" w:val="04A0"/>
      </w:tblPr>
      <w:tblGrid>
        <w:gridCol w:w="9978"/>
      </w:tblGrid>
      <w:tr>
        <w:trPr>
          <w:cantSplit/>
          <w:tblHeader/>
        </w:trPr>
        <w:tc>
          <w:tcPr>
            <w:tcW w:type="dxa" w:w="9720"/>
            <w:shd w:fill="111C35"/>
            <w:tcBorders>
              <w:top w:val="single" w:sz="6" w:color="111C35"/>
              <w:left w:val="single" w:sz="6" w:color="111C35"/>
              <w:bottom w:val="single" w:sz="6" w:color="111C35"/>
              <w:right w:val="single" w:sz="6" w:color="111C35"/>
            </w:tcBorders>
            <w:tcMar>
              <w:top w:w="90" w:type="dxa"/>
              <w:start w:w="120" w:type="dxa"/>
              <w:bottom w:w="90" w:type="dxa"/>
              <w:end w:w="120" w:type="dxa"/>
            </w:tcMar>
          </w:tcPr>
          <w:p>
            <w:pPr>
              <w:spacing w:after="0"/>
            </w:pPr>
            <w:r>
              <w:rPr>
                <w:rFonts w:ascii="Liberation Mono" w:hAnsi="Liberation Mono"/>
                <w:color w:val="EAF2FF"/>
                <w:sz w:val="15"/>
              </w:rPr>
              <w:t>powershell -ExecutionPolicy Bypass -File scripts/build_rtx5070ti.ps1</w:t>
              <w:br/>
              <w:t>powershell -ExecutionPolicy Bypass -File scripts/run_codex_campaign.ps1</w:t>
            </w:r>
          </w:p>
        </w:tc>
      </w:tr>
    </w:tbl>
    <w:p>
      <w:pPr>
        <w:pStyle w:val="Heading2"/>
      </w:pPr>
      <w:r>
        <w:t>21.2 Required measurements</w:t>
      </w:r>
    </w:p>
    <w:p>
      <w:pPr>
        <w:pStyle w:val="Bullet"/>
        <w:spacing w:after="60"/>
        <w:ind w:left="346" w:hanging="216"/>
      </w:pPr>
      <w:r>
        <w:rPr>
          <w:b/>
          <w:color w:val="2AA876"/>
        </w:rPr>
        <w:t xml:space="preserve">• </w:t>
      </w:r>
      <w:r>
        <w:t>p50/p95/p99 batch latency, positions/s, moves/s and transfer/compute breakdown</w:t>
      </w:r>
    </w:p>
    <w:p>
      <w:pPr>
        <w:pStyle w:val="Bullet"/>
        <w:spacing w:after="60"/>
        <w:ind w:left="346" w:hanging="216"/>
      </w:pPr>
      <w:r>
        <w:rPr>
          <w:b/>
          <w:color w:val="2AA876"/>
        </w:rPr>
        <w:t xml:space="preserve">• </w:t>
      </w:r>
      <w:r>
        <w:t>peak VRAM, host RAM and storage bytes per verified node</w:t>
      </w:r>
    </w:p>
    <w:p>
      <w:pPr>
        <w:pStyle w:val="Bullet"/>
        <w:spacing w:after="60"/>
        <w:ind w:left="346" w:hanging="216"/>
      </w:pPr>
      <w:r>
        <w:rPr>
          <w:b/>
          <w:color w:val="2AA876"/>
        </w:rPr>
        <w:t xml:space="preserve">• </w:t>
      </w:r>
      <w:r>
        <w:t>5-, 15- and 30-minute clocks, temperature, power, fallback and throttling behavior</w:t>
      </w:r>
    </w:p>
    <w:p>
      <w:pPr>
        <w:pStyle w:val="Bullet"/>
        <w:spacing w:after="60"/>
        <w:ind w:left="346" w:hanging="216"/>
      </w:pPr>
      <w:r>
        <w:rPr>
          <w:b/>
          <w:color w:val="2AA876"/>
        </w:rPr>
        <w:t xml:space="preserve">• </w:t>
      </w:r>
      <w:r>
        <w:t>differential mismatch count across packaged fixtures and a seeded random legal corpus</w:t>
      </w:r>
    </w:p>
    <w:p>
      <w:pPr>
        <w:pStyle w:val="Bullet"/>
        <w:spacing w:after="60"/>
        <w:ind w:left="346" w:hanging="216"/>
      </w:pPr>
      <w:r>
        <w:rPr>
          <w:b/>
          <w:color w:val="2AA876"/>
        </w:rPr>
        <w:t xml:space="preserve">• </w:t>
      </w:r>
      <w:r>
        <w:t>checkpoint/restart reproducibility and event-chain validation after process interruption</w:t>
      </w:r>
    </w:p>
    <w:tbl>
      <w:tblPr>
        <w:tblW w:type="auto" w:w="0"/>
        <w:jc w:val="center"/>
        <w:tblLayout w:type="fixed"/>
        <w:tblLook w:firstColumn="1" w:firstRow="1" w:lastColumn="0" w:lastRow="0" w:noHBand="0" w:noVBand="1" w:val="04A0"/>
      </w:tblPr>
      <w:tblGrid>
        <w:gridCol w:w="9978"/>
      </w:tblGrid>
      <w:tr>
        <w:trPr>
          <w:cantSplit/>
          <w:tblHeader/>
        </w:trPr>
        <w:tc>
          <w:tcPr>
            <w:tcW w:type="dxa" w:w="9720"/>
            <w:shd w:fill="FFF4F2"/>
            <w:tcBorders>
              <w:top w:val="single" w:sz="10" w:color="C94C4C"/>
              <w:left w:val="single" w:sz="18" w:color="C94C4C"/>
              <w:bottom w:val="single" w:sz="10" w:color="C94C4C"/>
              <w:right w:val="single" w:sz="10" w:color="C94C4C"/>
            </w:tcBorders>
            <w:tcMar>
              <w:top w:w="90" w:type="dxa"/>
              <w:start w:w="125" w:type="dxa"/>
              <w:bottom w:w="90" w:type="dxa"/>
              <w:end w:w="125" w:type="dxa"/>
            </w:tcMar>
          </w:tcPr>
          <w:p>
            <w:pPr>
              <w:spacing w:after="40"/>
            </w:pPr>
            <w:r>
              <w:rPr>
                <w:b/>
                <w:color w:val="C94C4C"/>
                <w:sz w:val="18"/>
              </w:rPr>
              <w:t>RELEASE BLOCKER</w:t>
            </w:r>
          </w:p>
          <w:p>
            <w:pPr>
              <w:spacing w:after="0"/>
            </w:pPr>
            <w:r>
              <w:t>Any extra move, missing move, history ambiguity, incomplete AND-node reply set, corrupt checkpoint, hash mismatch or device-dependent result blocks proof promotion.</w:t>
            </w:r>
          </w:p>
        </w:tc>
      </w:tr>
    </w:tbl>
    <w:p>
      <w:r>
        <w:br w:type="page"/>
      </w:r>
    </w:p>
    <w:p>
      <w:pPr>
        <w:pStyle w:val="Heading1"/>
      </w:pPr>
      <w:r>
        <w:t>22. Path from Laptop Experiment to Global Proof Campaign</w:t>
      </w:r>
    </w:p>
    <w:p>
      <w:pPr>
        <w:pStyle w:val="SectionLead"/>
      </w:pPr>
      <w:r>
        <w:t>Progress is measured by independently verifiable obligation closure, not by engine rating or searched nodes alone.</w:t>
      </w:r>
    </w:p>
    <w:p>
      <w:pPr>
        <w:spacing w:after="60"/>
        <w:jc w:val="center"/>
      </w:pPr>
      <w:r>
        <w:drawing>
          <wp:inline xmlns:a="http://schemas.openxmlformats.org/drawingml/2006/main" xmlns:pic="http://schemas.openxmlformats.org/drawingml/2006/picture">
            <wp:extent cx="6144768" cy="3066689"/>
            <wp:docPr id="18" name="Picture 18" descr="Roadmap from frozen authority through initial promotion" title="roadmap.png"/>
            <wp:cNvGraphicFramePr>
              <a:graphicFrameLocks noChangeAspect="1"/>
            </wp:cNvGraphicFramePr>
            <a:graphic>
              <a:graphicData uri="http://schemas.openxmlformats.org/drawingml/2006/picture">
                <pic:pic>
                  <pic:nvPicPr>
                    <pic:cNvPr id="0" name="roadmap.png"/>
                    <pic:cNvPicPr/>
                  </pic:nvPicPr>
                  <pic:blipFill>
                    <a:blip r:embed="rId28"/>
                    <a:stretch>
                      <a:fillRect/>
                    </a:stretch>
                  </pic:blipFill>
                  <pic:spPr>
                    <a:xfrm>
                      <a:off x="0" y="0"/>
                      <a:ext cx="6144768" cy="3066689"/>
                    </a:xfrm>
                    <a:prstGeom prst="rect"/>
                  </pic:spPr>
                </pic:pic>
              </a:graphicData>
            </a:graphic>
          </wp:inline>
        </w:drawing>
      </w:r>
    </w:p>
    <w:p>
      <w:pPr>
        <w:pStyle w:val="FigureCaption"/>
        <w:jc w:val="center"/>
      </w:pPr>
      <w:r>
        <w:rPr>
          <w:b/>
        </w:rPr>
        <w:t xml:space="preserve">Figure 17. </w:t>
      </w:r>
      <w:r>
        <w:t>The initial node is promoted only after proof infrastructure, exact coverage and checker diversity are complete.</w:t>
      </w:r>
    </w:p>
    <w:p>
      <w:pPr>
        <w:pStyle w:val="Heading2"/>
      </w:pPr>
      <w:r>
        <w:t>22.1 Disk-backed proof DAG</w:t>
      </w:r>
    </w:p>
    <w:p>
      <w:pPr>
        <w:pStyle w:val="Bullet"/>
        <w:spacing w:after="60"/>
        <w:ind w:left="346" w:hanging="216"/>
      </w:pPr>
      <w:r>
        <w:rPr>
          <w:b/>
          <w:color w:val="2AA876"/>
        </w:rPr>
        <w:t xml:space="preserve">• </w:t>
      </w:r>
      <w:r>
        <w:t>Partition by material signature, rights/history class and canonical hash prefix; store full reconstructible state beside any short index.</w:t>
      </w:r>
    </w:p>
    <w:p>
      <w:pPr>
        <w:pStyle w:val="Bullet"/>
        <w:spacing w:after="60"/>
        <w:ind w:left="346" w:hanging="216"/>
      </w:pPr>
      <w:r>
        <w:rPr>
          <w:b/>
          <w:color w:val="2AA876"/>
        </w:rPr>
        <w:t xml:space="preserve">• </w:t>
      </w:r>
      <w:r>
        <w:t>Use append-only frontier and certificate objects with schema IDs, CRC/SHA checks and content-addressed child references.</w:t>
      </w:r>
    </w:p>
    <w:p>
      <w:pPr>
        <w:pStyle w:val="Bullet"/>
        <w:spacing w:after="60"/>
        <w:ind w:left="346" w:hanging="216"/>
      </w:pPr>
      <w:r>
        <w:rPr>
          <w:b/>
          <w:color w:val="2AA876"/>
        </w:rPr>
        <w:t xml:space="preserve">• </w:t>
      </w:r>
      <w:r>
        <w:t>Treat opening books, engines and neural policies as prioritizers. They cannot close a proof node.</w:t>
      </w:r>
    </w:p>
    <w:p>
      <w:pPr>
        <w:pStyle w:val="Bullet"/>
        <w:spacing w:after="60"/>
        <w:ind w:left="346" w:hanging="216"/>
      </w:pPr>
      <w:r>
        <w:rPr>
          <w:b/>
          <w:color w:val="2AA876"/>
        </w:rPr>
        <w:t xml:space="preserve">• </w:t>
      </w:r>
      <w:r>
        <w:t>Integrate exact tablebase partitions through profile-labeled adapters and boundary transition checks.</w:t>
      </w:r>
    </w:p>
    <w:p>
      <w:pPr>
        <w:pStyle w:val="Bullet"/>
        <w:spacing w:after="60"/>
        <w:ind w:left="346" w:hanging="216"/>
      </w:pPr>
      <w:r>
        <w:rPr>
          <w:b/>
          <w:color w:val="2AA876"/>
        </w:rPr>
        <w:t xml:space="preserve">• </w:t>
      </w:r>
      <w:r>
        <w:t>Merge root shards only after independent checker records agree; retain conflicts and rejected candidates in lineage.</w:t>
      </w:r>
    </w:p>
    <w:tbl>
      <w:tblPr>
        <w:tblW w:type="auto" w:w="0"/>
        <w:jc w:val="center"/>
        <w:tblLayout w:type="fixed"/>
        <w:tblLook w:firstColumn="1" w:firstRow="1" w:lastColumn="0" w:lastRow="0" w:noHBand="0" w:noVBand="1" w:val="04A0"/>
      </w:tblPr>
      <w:tblGrid>
        <w:gridCol w:w="9978"/>
      </w:tblGrid>
      <w:tr>
        <w:trPr>
          <w:cantSplit/>
          <w:tblHeader/>
        </w:trPr>
        <w:tc>
          <w:tcPr>
            <w:tcW w:type="dxa" w:w="9720"/>
            <w:shd w:fill="FFF7E8"/>
            <w:tcBorders>
              <w:top w:val="single" w:sz="10" w:color="E0A819"/>
              <w:left w:val="single" w:sz="18" w:color="E0A819"/>
              <w:bottom w:val="single" w:sz="10" w:color="E0A819"/>
              <w:right w:val="single" w:sz="10" w:color="E0A819"/>
            </w:tcBorders>
            <w:tcMar>
              <w:top w:w="90" w:type="dxa"/>
              <w:start w:w="125" w:type="dxa"/>
              <w:bottom w:w="90" w:type="dxa"/>
              <w:end w:w="125" w:type="dxa"/>
            </w:tcMar>
          </w:tcPr>
          <w:p>
            <w:pPr>
              <w:spacing w:after="40"/>
            </w:pPr>
            <w:r>
              <w:rPr>
                <w:b/>
                <w:color w:val="E0A819"/>
                <w:sz w:val="18"/>
              </w:rPr>
              <w:t>SCALE BOUNDARY</w:t>
            </w:r>
          </w:p>
          <w:p>
            <w:pPr>
              <w:spacing w:after="0"/>
            </w:pPr>
            <w:r>
              <w:t>A single 12 GB laptop can validate kernels, close small partitions and contribute shards. It is not represented as sufficient by itself to exhaust the full classical game graph.</w:t>
            </w:r>
          </w:p>
        </w:tc>
      </w:tr>
    </w:tbl>
    <w:p>
      <w:r>
        <w:br w:type="page"/>
      </w:r>
    </w:p>
    <w:p>
      <w:pPr>
        <w:pStyle w:val="Heading1"/>
      </w:pPr>
      <w:r>
        <w:t>23. Captured Host Validation</w:t>
      </w:r>
    </w:p>
    <w:p>
      <w:pPr>
        <w:pStyle w:val="SectionLead"/>
      </w:pPr>
      <w:r>
        <w:t>The supplied evidence establishes exact host behavior and packaging integrity, not physical-GPU performance.</w:t>
      </w:r>
    </w:p>
    <w:p>
      <w:pPr>
        <w:spacing w:after="60"/>
        <w:jc w:val="center"/>
      </w:pPr>
      <w:r>
        <w:drawing>
          <wp:inline xmlns:a="http://schemas.openxmlformats.org/drawingml/2006/main" xmlns:pic="http://schemas.openxmlformats.org/drawingml/2006/picture">
            <wp:extent cx="6144768" cy="2921470"/>
            <wp:docPr id="19" name="Picture 19" descr="Host validation dashboard" title="validation_dashboard.png"/>
            <wp:cNvGraphicFramePr>
              <a:graphicFrameLocks noChangeAspect="1"/>
            </wp:cNvGraphicFramePr>
            <a:graphic>
              <a:graphicData uri="http://schemas.openxmlformats.org/drawingml/2006/picture">
                <pic:pic>
                  <pic:nvPicPr>
                    <pic:cNvPr id="0" name="validation_dashboard.png"/>
                    <pic:cNvPicPr/>
                  </pic:nvPicPr>
                  <pic:blipFill>
                    <a:blip r:embed="rId29"/>
                    <a:stretch>
                      <a:fillRect/>
                    </a:stretch>
                  </pic:blipFill>
                  <pic:spPr>
                    <a:xfrm>
                      <a:off x="0" y="0"/>
                      <a:ext cx="6144768" cy="2921470"/>
                    </a:xfrm>
                    <a:prstGeom prst="rect"/>
                  </pic:spPr>
                </pic:pic>
              </a:graphicData>
            </a:graphic>
          </wp:inline>
        </w:drawing>
      </w:r>
    </w:p>
    <w:p>
      <w:pPr>
        <w:pStyle w:val="FigureCaption"/>
        <w:jc w:val="center"/>
      </w:pPr>
      <w:r>
        <w:rPr>
          <w:b/>
        </w:rPr>
        <w:t xml:space="preserve">Figure 18. </w:t>
      </w:r>
      <w:r>
        <w:t>All captured host gates passed; the CUDA device lane remains explicitly pending.</w:t>
      </w:r>
    </w:p>
    <w:tbl>
      <w:tblPr>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3384"/>
            <w:shd w:fill="0B1736"/>
            <w:tcMar>
              <w:top w:w="55" w:type="dxa"/>
              <w:start w:w="65" w:type="dxa"/>
              <w:bottom w:w="55" w:type="dxa"/>
              <w:end w:w="65" w:type="dxa"/>
            </w:tcMar>
          </w:tcPr>
          <w:p>
            <w:r>
              <w:rPr>
                <w:b/>
                <w:color w:val="FFFFFF"/>
                <w:sz w:val="16"/>
              </w:rPr>
              <w:t>Gate</w:t>
            </w:r>
          </w:p>
        </w:tc>
        <w:tc>
          <w:tcPr>
            <w:tcW w:type="dxa" w:w="3816"/>
            <w:shd w:fill="0B1736"/>
            <w:tcMar>
              <w:top w:w="55" w:type="dxa"/>
              <w:start w:w="65" w:type="dxa"/>
              <w:bottom w:w="55" w:type="dxa"/>
              <w:end w:w="65" w:type="dxa"/>
            </w:tcMar>
          </w:tcPr>
          <w:p>
            <w:r>
              <w:rPr>
                <w:b/>
                <w:color w:val="FFFFFF"/>
                <w:sz w:val="16"/>
              </w:rPr>
              <w:t>Count/artifact</w:t>
            </w:r>
          </w:p>
        </w:tc>
        <w:tc>
          <w:tcPr>
            <w:tcW w:type="dxa" w:w="2304"/>
            <w:shd w:fill="0B1736"/>
            <w:tcMar>
              <w:top w:w="55" w:type="dxa"/>
              <w:start w:w="65" w:type="dxa"/>
              <w:bottom w:w="55" w:type="dxa"/>
              <w:end w:w="65" w:type="dxa"/>
            </w:tcMar>
          </w:tcPr>
          <w:p>
            <w:r>
              <w:rPr>
                <w:b/>
                <w:color w:val="FFFFFF"/>
                <w:sz w:val="16"/>
              </w:rPr>
              <w:t>Status</w:t>
            </w:r>
          </w:p>
        </w:tc>
      </w:tr>
      <w:tr>
        <w:trPr>
          <w:cantSplit/>
        </w:trPr>
        <w:tc>
          <w:tcPr>
            <w:tcW w:type="dxa" w:w="338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Python tests</w:t>
            </w:r>
          </w:p>
        </w:tc>
        <w:tc>
          <w:tcPr>
            <w:tcW w:type="dxa" w:w="381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92</w:t>
            </w:r>
          </w:p>
        </w:tc>
        <w:tc>
          <w:tcPr>
            <w:tcW w:type="dxa" w:w="230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PASS</w:t>
            </w:r>
          </w:p>
        </w:tc>
      </w:tr>
      <w:tr>
        <w:trPr>
          <w:cantSplit/>
        </w:trPr>
        <w:tc>
          <w:tcPr>
            <w:tcW w:type="dxa" w:w="338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Python perft checks</w:t>
            </w:r>
          </w:p>
        </w:tc>
        <w:tc>
          <w:tcPr>
            <w:tcW w:type="dxa" w:w="381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20</w:t>
            </w:r>
          </w:p>
        </w:tc>
        <w:tc>
          <w:tcPr>
            <w:tcW w:type="dxa" w:w="230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PASS</w:t>
            </w:r>
          </w:p>
        </w:tc>
      </w:tr>
      <w:tr>
        <w:trPr>
          <w:cantSplit/>
        </w:trPr>
        <w:tc>
          <w:tcPr>
            <w:tcW w:type="dxa" w:w="338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C++ CTest</w:t>
            </w:r>
          </w:p>
        </w:tc>
        <w:tc>
          <w:tcPr>
            <w:tcW w:type="dxa" w:w="381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3</w:t>
            </w:r>
          </w:p>
        </w:tc>
        <w:tc>
          <w:tcPr>
            <w:tcW w:type="dxa" w:w="230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PASS</w:t>
            </w:r>
          </w:p>
        </w:tc>
      </w:tr>
      <w:tr>
        <w:trPr>
          <w:cantSplit/>
        </w:trPr>
        <w:tc>
          <w:tcPr>
            <w:tcW w:type="dxa" w:w="338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Native packed self-tests</w:t>
            </w:r>
          </w:p>
        </w:tc>
        <w:tc>
          <w:tcPr>
            <w:tcW w:type="dxa" w:w="381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9</w:t>
            </w:r>
          </w:p>
        </w:tc>
        <w:tc>
          <w:tcPr>
            <w:tcW w:type="dxa" w:w="230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PASS</w:t>
            </w:r>
          </w:p>
        </w:tc>
      </w:tr>
      <w:tr>
        <w:trPr>
          <w:cantSplit/>
        </w:trPr>
        <w:tc>
          <w:tcPr>
            <w:tcW w:type="dxa" w:w="338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Schema documents</w:t>
            </w:r>
          </w:p>
        </w:tc>
        <w:tc>
          <w:tcPr>
            <w:tcW w:type="dxa" w:w="381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26</w:t>
            </w:r>
          </w:p>
        </w:tc>
        <w:tc>
          <w:tcPr>
            <w:tcW w:type="dxa" w:w="230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PASS</w:t>
            </w:r>
          </w:p>
        </w:tc>
      </w:tr>
      <w:tr>
        <w:trPr>
          <w:cantSplit/>
        </w:trPr>
        <w:tc>
          <w:tcPr>
            <w:tcW w:type="dxa" w:w="338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Mechanism records</w:t>
            </w:r>
          </w:p>
        </w:tc>
        <w:tc>
          <w:tcPr>
            <w:tcW w:type="dxa" w:w="381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104</w:t>
            </w:r>
          </w:p>
        </w:tc>
        <w:tc>
          <w:tcPr>
            <w:tcW w:type="dxa" w:w="230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PASS</w:t>
            </w:r>
          </w:p>
        </w:tc>
      </w:tr>
      <w:tr>
        <w:trPr>
          <w:cantSplit/>
        </w:trPr>
        <w:tc>
          <w:tcPr>
            <w:tcW w:type="dxa" w:w="338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Wheel clean install</w:t>
            </w:r>
          </w:p>
        </w:tc>
        <w:tc>
          <w:tcPr>
            <w:tcW w:type="dxa" w:w="381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ugts_kc_chess-2.0.0-py3-none-any.whl</w:t>
            </w:r>
          </w:p>
        </w:tc>
        <w:tc>
          <w:tcPr>
            <w:tcW w:type="dxa" w:w="230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PASS</w:t>
            </w:r>
          </w:p>
        </w:tc>
      </w:tr>
      <w:tr>
        <w:trPr>
          <w:cantSplit/>
        </w:trPr>
        <w:tc>
          <w:tcPr>
            <w:tcW w:type="dxa" w:w="338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6"/>
              </w:rPr>
              <w:t>Physical RTX run</w:t>
            </w:r>
          </w:p>
        </w:tc>
        <w:tc>
          <w:tcPr>
            <w:tcW w:type="dxa" w:w="381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0</w:t>
            </w:r>
          </w:p>
        </w:tc>
        <w:tc>
          <w:tcPr>
            <w:tcW w:type="dxa" w:w="230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6"/>
              </w:rPr>
              <w:t>PENDING</w:t>
            </w:r>
          </w:p>
        </w:tc>
      </w:tr>
    </w:tbl>
    <w:tbl>
      <w:tblPr>
        <w:tblW w:type="auto" w:w="0"/>
        <w:jc w:val="center"/>
        <w:tblLayout w:type="fixed"/>
        <w:tblLook w:firstColumn="1" w:firstRow="1" w:lastColumn="0" w:lastRow="0" w:noHBand="0" w:noVBand="1" w:val="04A0"/>
      </w:tblPr>
      <w:tblGrid>
        <w:gridCol w:w="9978"/>
      </w:tblGrid>
      <w:tr>
        <w:trPr>
          <w:cantSplit/>
          <w:tblHeader/>
        </w:trPr>
        <w:tc>
          <w:tcPr>
            <w:tcW w:type="dxa" w:w="9720"/>
            <w:shd w:fill="EEF4FF"/>
            <w:tcBorders>
              <w:top w:val="single" w:sz="10" w:color="4568DC"/>
              <w:left w:val="single" w:sz="18" w:color="4568DC"/>
              <w:bottom w:val="single" w:sz="10" w:color="4568DC"/>
              <w:right w:val="single" w:sz="10" w:color="4568DC"/>
            </w:tcBorders>
            <w:tcMar>
              <w:top w:w="90" w:type="dxa"/>
              <w:start w:w="125" w:type="dxa"/>
              <w:bottom w:w="90" w:type="dxa"/>
              <w:end w:w="125" w:type="dxa"/>
            </w:tcMar>
          </w:tcPr>
          <w:p>
            <w:pPr>
              <w:spacing w:after="40"/>
            </w:pPr>
            <w:r>
              <w:rPr>
                <w:b/>
                <w:color w:val="4568DC"/>
                <w:sz w:val="18"/>
              </w:rPr>
              <w:t>VALIDATION MEANING</w:t>
            </w:r>
          </w:p>
          <w:p>
            <w:pPr>
              <w:spacing w:after="0"/>
            </w:pPr>
            <w:r>
              <w:t>This validates the supplied attempt and proof machinery; it does not solve the 32-piece initial position.</w:t>
            </w:r>
          </w:p>
        </w:tc>
      </w:tr>
    </w:tbl>
    <w:p>
      <w:r>
        <w:br w:type="page"/>
      </w:r>
    </w:p>
    <w:p>
      <w:pPr>
        <w:pStyle w:val="Heading1"/>
      </w:pPr>
      <w:r>
        <w:t>24. Performance Evidence and Non-Claims</w:t>
      </w:r>
    </w:p>
    <w:p>
      <w:pPr>
        <w:pStyle w:val="SectionLead"/>
      </w:pPr>
      <w:r>
        <w:t>Host timing is useful for regression but cannot be generalized to the user's laptop before measurement.</w:t>
      </w:r>
    </w:p>
    <w:tbl>
      <w:tblPr>
        <w:tblW w:type="auto" w:w="0"/>
        <w:jc w:val="center"/>
        <w:tblLayout w:type="fixed"/>
        <w:tblLook w:firstColumn="1" w:firstRow="1" w:lastColumn="0" w:lastRow="0" w:noHBand="0" w:noVBand="1" w:val="04A0"/>
      </w:tblPr>
      <w:tblGrid>
        <w:gridCol w:w="2494"/>
        <w:gridCol w:w="2494"/>
        <w:gridCol w:w="2494"/>
        <w:gridCol w:w="2494"/>
      </w:tblGrid>
      <w:tr>
        <w:trPr>
          <w:tblHeader w:val="true"/>
          <w:cantSplit/>
        </w:trPr>
        <w:tc>
          <w:tcPr>
            <w:tcW w:type="dxa" w:w="2952"/>
            <w:shd w:fill="0B1736"/>
            <w:tcMar>
              <w:top w:w="55" w:type="dxa"/>
              <w:start w:w="65" w:type="dxa"/>
              <w:bottom w:w="55" w:type="dxa"/>
              <w:end w:w="65" w:type="dxa"/>
            </w:tcMar>
          </w:tcPr>
          <w:p>
            <w:r>
              <w:rPr>
                <w:b/>
                <w:color w:val="FFFFFF"/>
                <w:sz w:val="15"/>
              </w:rPr>
              <w:t>Measurement</w:t>
            </w:r>
          </w:p>
        </w:tc>
        <w:tc>
          <w:tcPr>
            <w:tcW w:type="dxa" w:w="2592"/>
            <w:shd w:fill="0B1736"/>
            <w:tcMar>
              <w:top w:w="55" w:type="dxa"/>
              <w:start w:w="65" w:type="dxa"/>
              <w:bottom w:w="55" w:type="dxa"/>
              <w:end w:w="65" w:type="dxa"/>
            </w:tcMar>
          </w:tcPr>
          <w:p>
            <w:r>
              <w:rPr>
                <w:b/>
                <w:color w:val="FFFFFF"/>
                <w:sz w:val="15"/>
              </w:rPr>
              <w:t>Work</w:t>
            </w:r>
          </w:p>
        </w:tc>
        <w:tc>
          <w:tcPr>
            <w:tcW w:type="dxa" w:w="1800"/>
            <w:shd w:fill="0B1736"/>
            <w:tcMar>
              <w:top w:w="55" w:type="dxa"/>
              <w:start w:w="65" w:type="dxa"/>
              <w:bottom w:w="55" w:type="dxa"/>
              <w:end w:w="65" w:type="dxa"/>
            </w:tcMar>
          </w:tcPr>
          <w:p>
            <w:r>
              <w:rPr>
                <w:b/>
                <w:color w:val="FFFFFF"/>
                <w:sz w:val="15"/>
              </w:rPr>
              <w:t>Observed</w:t>
            </w:r>
          </w:p>
        </w:tc>
        <w:tc>
          <w:tcPr>
            <w:tcW w:type="dxa" w:w="2160"/>
            <w:shd w:fill="0B1736"/>
            <w:tcMar>
              <w:top w:w="55" w:type="dxa"/>
              <w:start w:w="65" w:type="dxa"/>
              <w:bottom w:w="55" w:type="dxa"/>
              <w:end w:w="65" w:type="dxa"/>
            </w:tcMar>
          </w:tcPr>
          <w:p>
            <w:r>
              <w:rPr>
                <w:b/>
                <w:color w:val="FFFFFF"/>
                <w:sz w:val="15"/>
              </w:rPr>
              <w:t>Boundary</w:t>
            </w:r>
          </w:p>
        </w:tc>
      </w:tr>
      <w:tr>
        <w:trPr>
          <w:cantSplit/>
        </w:trPr>
        <w:tc>
          <w:tcPr>
            <w:tcW w:type="dxa" w:w="295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Native initial perft depth 5</w:t>
            </w:r>
          </w:p>
        </w:tc>
        <w:tc>
          <w:tcPr>
            <w:tcW w:type="dxa" w:w="259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4,865,609 nodes</w:t>
            </w:r>
          </w:p>
        </w:tc>
        <w:tc>
          <w:tcPr>
            <w:tcW w:type="dxa" w:w="180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1.344 s</w:t>
            </w:r>
          </w:p>
        </w:tc>
        <w:tc>
          <w:tcPr>
            <w:tcW w:type="dxa" w:w="216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3.620 Mnodes/s</w:t>
            </w:r>
          </w:p>
        </w:tc>
      </w:tr>
      <w:tr>
        <w:trPr>
          <w:cantSplit/>
        </w:trPr>
        <w:tc>
          <w:tcPr>
            <w:tcW w:type="dxa" w:w="295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Maximum RSS during captured depth-5 run</w:t>
            </w:r>
          </w:p>
        </w:tc>
        <w:tc>
          <w:tcPr>
            <w:tcW w:type="dxa" w:w="259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1,800 KiB</w:t>
            </w:r>
          </w:p>
        </w:tc>
        <w:tc>
          <w:tcPr>
            <w:tcW w:type="dxa" w:w="180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Linux container</w:t>
            </w:r>
          </w:p>
        </w:tc>
        <w:tc>
          <w:tcPr>
            <w:tcW w:type="dxa" w:w="216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host-specific</w:t>
            </w:r>
          </w:p>
        </w:tc>
      </w:tr>
      <w:tr>
        <w:trPr>
          <w:cantSplit/>
        </w:trPr>
        <w:tc>
          <w:tcPr>
            <w:tcW w:type="dxa" w:w="295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Packed differential</w:t>
            </w:r>
          </w:p>
        </w:tc>
        <w:tc>
          <w:tcPr>
            <w:tcW w:type="dxa" w:w="259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4 positions / 97 moves</w:t>
            </w:r>
          </w:p>
        </w:tc>
        <w:tc>
          <w:tcPr>
            <w:tcW w:type="dxa" w:w="180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0 mismatches</w:t>
            </w:r>
          </w:p>
        </w:tc>
        <w:tc>
          <w:tcPr>
            <w:tcW w:type="dxa" w:w="216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CPU fallback</w:t>
            </w:r>
          </w:p>
        </w:tc>
      </w:tr>
      <w:tr>
        <w:trPr>
          <w:cantSplit/>
        </w:trPr>
        <w:tc>
          <w:tcPr>
            <w:tcW w:type="dxa" w:w="295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Tablebase transport</w:t>
            </w:r>
          </w:p>
        </w:tc>
        <w:tc>
          <w:tcPr>
            <w:tcW w:type="dxa" w:w="259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296,674 bytes</w:t>
            </w:r>
          </w:p>
        </w:tc>
        <w:tc>
          <w:tcPr>
            <w:tcW w:type="dxa" w:w="180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2 exact files</w:t>
            </w:r>
          </w:p>
        </w:tc>
        <w:tc>
          <w:tcPr>
            <w:tcW w:type="dxa" w:w="216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hash verified</w:t>
            </w:r>
          </w:p>
        </w:tc>
      </w:tr>
      <w:tr>
        <w:trPr>
          <w:cantSplit/>
        </w:trPr>
        <w:tc>
          <w:tcPr>
            <w:tcW w:type="dxa" w:w="295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Python wheel</w:t>
            </w:r>
          </w:p>
        </w:tc>
        <w:tc>
          <w:tcPr>
            <w:tcW w:type="dxa" w:w="259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332,019 bytes</w:t>
            </w:r>
          </w:p>
        </w:tc>
        <w:tc>
          <w:tcPr>
            <w:tcW w:type="dxa" w:w="180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isolated install</w:t>
            </w:r>
          </w:p>
        </w:tc>
        <w:tc>
          <w:tcPr>
            <w:tcW w:type="dxa" w:w="216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PASS</w:t>
            </w:r>
          </w:p>
        </w:tc>
      </w:tr>
    </w:tbl>
    <w:p>
      <w:pPr>
        <w:pStyle w:val="Heading2"/>
      </w:pPr>
      <w:r>
        <w:t>24.1 What is not claimed</w:t>
      </w:r>
    </w:p>
    <w:p>
      <w:pPr>
        <w:pStyle w:val="Bullet"/>
        <w:spacing w:after="60"/>
        <w:ind w:left="346" w:hanging="216"/>
      </w:pPr>
      <w:r>
        <w:rPr>
          <w:b/>
          <w:color w:val="C94C4C"/>
        </w:rPr>
        <w:t xml:space="preserve">• </w:t>
      </w:r>
      <w:r>
        <w:t>No Stockfish, Leela Chess Zero or other mature-engine strength comparison.</w:t>
      </w:r>
    </w:p>
    <w:p>
      <w:pPr>
        <w:pStyle w:val="Bullet"/>
        <w:spacing w:after="60"/>
        <w:ind w:left="346" w:hanging="216"/>
      </w:pPr>
      <w:r>
        <w:rPr>
          <w:b/>
          <w:color w:val="C94C4C"/>
        </w:rPr>
        <w:t xml:space="preserve">• </w:t>
      </w:r>
      <w:r>
        <w:t>No RTX speedup, positions/s, energy efficiency, thermals, battery life or sustained laptop throughput.</w:t>
      </w:r>
    </w:p>
    <w:p>
      <w:pPr>
        <w:pStyle w:val="Bullet"/>
        <w:spacing w:after="60"/>
        <w:ind w:left="346" w:hanging="216"/>
      </w:pPr>
      <w:r>
        <w:rPr>
          <w:b/>
          <w:color w:val="C94C4C"/>
        </w:rPr>
        <w:t xml:space="preserve">• </w:t>
      </w:r>
      <w:r>
        <w:t>No implication that faster move generation changes the mathematical WDL obligations.</w:t>
      </w:r>
    </w:p>
    <w:p>
      <w:pPr>
        <w:pStyle w:val="Bullet"/>
        <w:spacing w:after="60"/>
        <w:ind w:left="346" w:hanging="216"/>
      </w:pPr>
      <w:r>
        <w:rPr>
          <w:b/>
          <w:color w:val="C94C4C"/>
        </w:rPr>
        <w:t xml:space="preserve">• </w:t>
      </w:r>
      <w:r>
        <w:t>No universal bit-identical floating-point behavior; promoted legality, hashes and proof records use exact integer/serialized boundaries.</w:t>
      </w:r>
    </w:p>
    <w:p>
      <w:pPr>
        <w:pStyle w:val="Bullet"/>
        <w:spacing w:after="60"/>
        <w:ind w:left="346" w:hanging="216"/>
      </w:pPr>
      <w:r>
        <w:rPr>
          <w:b/>
          <w:color w:val="C94C4C"/>
        </w:rPr>
        <w:t xml:space="preserve">• </w:t>
      </w:r>
      <w:r>
        <w:t>No proof that the Python interpreter, C++ compiler, operating system or GPU hardware is free of defects.</w:t>
      </w:r>
    </w:p>
    <w:tbl>
      <w:tblPr>
        <w:tblW w:type="auto" w:w="0"/>
        <w:jc w:val="center"/>
        <w:tblLayout w:type="fixed"/>
        <w:tblLook w:firstColumn="1" w:firstRow="1" w:lastColumn="0" w:lastRow="0" w:noHBand="0" w:noVBand="1" w:val="04A0"/>
      </w:tblPr>
      <w:tblGrid>
        <w:gridCol w:w="9978"/>
      </w:tblGrid>
      <w:tr>
        <w:trPr>
          <w:cantSplit/>
          <w:tblHeader/>
        </w:trPr>
        <w:tc>
          <w:tcPr>
            <w:tcW w:type="dxa" w:w="9720"/>
            <w:shd w:fill="FFF7E8"/>
            <w:tcBorders>
              <w:top w:val="single" w:sz="10" w:color="E0A819"/>
              <w:left w:val="single" w:sz="18" w:color="E0A819"/>
              <w:bottom w:val="single" w:sz="10" w:color="E0A819"/>
              <w:right w:val="single" w:sz="10" w:color="E0A819"/>
            </w:tcBorders>
            <w:tcMar>
              <w:top w:w="90" w:type="dxa"/>
              <w:start w:w="125" w:type="dxa"/>
              <w:bottom w:w="90" w:type="dxa"/>
              <w:end w:w="125" w:type="dxa"/>
            </w:tcMar>
          </w:tcPr>
          <w:p>
            <w:pPr>
              <w:spacing w:after="40"/>
            </w:pPr>
            <w:r>
              <w:rPr>
                <w:b/>
                <w:color w:val="E0A819"/>
                <w:sz w:val="18"/>
              </w:rPr>
              <w:t>EQUAL-OUTPUT RULE</w:t>
            </w:r>
          </w:p>
          <w:p>
            <w:pPr>
              <w:spacing w:after="0"/>
            </w:pPr>
            <w:r>
              <w:t>A performance claim becomes relevant only after CPU and CUDA outputs agree under the same rule profile and checker. Correctness is not inferred from speed.</w:t>
            </w:r>
          </w:p>
        </w:tc>
      </w:tr>
    </w:tbl>
    <w:p>
      <w:r>
        <w:br w:type="page"/>
      </w:r>
    </w:p>
    <w:p>
      <w:pPr>
        <w:pStyle w:val="Heading1"/>
      </w:pPr>
      <w:r>
        <w:t>25. Promotion Gates, Roadmap and Kill Criteria</w:t>
      </w:r>
    </w:p>
    <w:p>
      <w:pPr>
        <w:pStyle w:val="SectionLead"/>
      </w:pPr>
      <w:r>
        <w:t>The campaign is designed to fail safely and visibly when evidence is incomplete.</w:t>
      </w:r>
    </w:p>
    <w:p>
      <w:pPr>
        <w:pStyle w:val="Heading2"/>
      </w:pPr>
      <w:r>
        <w:t>25.1 Promotion sequence</w:t>
      </w:r>
    </w:p>
    <w:p>
      <w:pPr>
        <w:pStyle w:val="Bullet"/>
        <w:spacing w:after="40"/>
        <w:ind w:left="403" w:hanging="317"/>
      </w:pPr>
      <w:r>
        <w:rPr>
          <w:b/>
          <w:color w:val="4568DC"/>
        </w:rPr>
        <w:t xml:space="preserve">1. </w:t>
      </w:r>
      <w:r>
        <w:t>Freeze legal and history authority; maintain cross-implementation perft and transition tests.</w:t>
      </w:r>
    </w:p>
    <w:p>
      <w:pPr>
        <w:pStyle w:val="Bullet"/>
        <w:spacing w:after="40"/>
        <w:ind w:left="403" w:hanging="317"/>
      </w:pPr>
      <w:r>
        <w:rPr>
          <w:b/>
          <w:color w:val="4568DC"/>
        </w:rPr>
        <w:t xml:space="preserve">2. </w:t>
      </w:r>
      <w:r>
        <w:t>Compile and differential-test SM120 kernels on the target laptop.</w:t>
      </w:r>
    </w:p>
    <w:p>
      <w:pPr>
        <w:pStyle w:val="Bullet"/>
        <w:spacing w:after="40"/>
        <w:ind w:left="403" w:hanging="317"/>
      </w:pPr>
      <w:r>
        <w:rPr>
          <w:b/>
          <w:color w:val="4568DC"/>
        </w:rPr>
        <w:t xml:space="preserve">3. </w:t>
      </w:r>
      <w:r>
        <w:t>Add append-only frontier/proof storage and crash-safe checkpoints.</w:t>
      </w:r>
    </w:p>
    <w:p>
      <w:pPr>
        <w:pStyle w:val="Bullet"/>
        <w:spacing w:after="40"/>
        <w:ind w:left="403" w:hanging="317"/>
      </w:pPr>
      <w:r>
        <w:rPr>
          <w:b/>
          <w:color w:val="4568DC"/>
        </w:rPr>
        <w:t xml:space="preserve">4. </w:t>
      </w:r>
      <w:r>
        <w:t>Expand exact endgame partitions with rule-profile and hash commitments.</w:t>
      </w:r>
    </w:p>
    <w:p>
      <w:pPr>
        <w:pStyle w:val="Bullet"/>
        <w:spacing w:after="40"/>
        <w:ind w:left="403" w:hanging="317"/>
      </w:pPr>
      <w:r>
        <w:rPr>
          <w:b/>
          <w:color w:val="4568DC"/>
        </w:rPr>
        <w:t xml:space="preserve">5. </w:t>
      </w:r>
      <w:r>
        <w:t>Implement complete dead-position certificates or preserve UNKNOWN.</w:t>
      </w:r>
    </w:p>
    <w:p>
      <w:pPr>
        <w:pStyle w:val="Bullet"/>
        <w:spacing w:after="40"/>
        <w:ind w:left="403" w:hanging="317"/>
      </w:pPr>
      <w:r>
        <w:rPr>
          <w:b/>
          <w:color w:val="4568DC"/>
        </w:rPr>
        <w:t xml:space="preserve">6. </w:t>
      </w:r>
      <w:r>
        <w:t>Close one root shard at a time; diversify independent checkers.</w:t>
      </w:r>
    </w:p>
    <w:p>
      <w:pPr>
        <w:pStyle w:val="Bullet"/>
        <w:spacing w:after="40"/>
        <w:ind w:left="403" w:hanging="317"/>
      </w:pPr>
      <w:r>
        <w:rPr>
          <w:b/>
          <w:color w:val="4568DC"/>
        </w:rPr>
        <w:t xml:space="preserve">7. </w:t>
      </w:r>
      <w:r>
        <w:t>Promote the initial node only when its complete quantified WDL rule is satisfied.</w:t>
      </w:r>
    </w:p>
    <w:p>
      <w:pPr>
        <w:pStyle w:val="Heading2"/>
      </w:pPr>
      <w:r>
        <w:t>25.2 Release-blocking failures</w:t>
      </w:r>
    </w:p>
    <w:p>
      <w:pPr>
        <w:pStyle w:val="Bullet"/>
        <w:spacing w:after="60"/>
        <w:ind w:left="346" w:hanging="216"/>
      </w:pPr>
      <w:r>
        <w:rPr>
          <w:b/>
          <w:color w:val="C94C4C"/>
        </w:rPr>
        <w:t xml:space="preserve">• </w:t>
      </w:r>
      <w:r>
        <w:t>Any legal-move or terminal mismatch, including castling, en-passant, promotion, check or draw-order errors.</w:t>
      </w:r>
    </w:p>
    <w:p>
      <w:pPr>
        <w:pStyle w:val="Bullet"/>
        <w:spacing w:after="60"/>
        <w:ind w:left="346" w:hanging="216"/>
      </w:pPr>
      <w:r>
        <w:rPr>
          <w:b/>
          <w:color w:val="C94C4C"/>
        </w:rPr>
        <w:t xml:space="preserve">• </w:t>
      </w:r>
      <w:r>
        <w:t>A proof verifier accepts a missing defender reply, illegal edge, wrong pre-state, mismatched hash or unsupported draw closure.</w:t>
      </w:r>
    </w:p>
    <w:p>
      <w:pPr>
        <w:pStyle w:val="Bullet"/>
        <w:spacing w:after="60"/>
        <w:ind w:left="346" w:hanging="216"/>
      </w:pPr>
      <w:r>
        <w:rPr>
          <w:b/>
          <w:color w:val="C94C4C"/>
        </w:rPr>
        <w:t xml:space="preserve">• </w:t>
      </w:r>
      <w:r>
        <w:t>A 64-bit key, score, GPU hash or cache hit is treated as complete proof identity.</w:t>
      </w:r>
    </w:p>
    <w:p>
      <w:pPr>
        <w:pStyle w:val="Bullet"/>
        <w:spacing w:after="60"/>
        <w:ind w:left="346" w:hanging="216"/>
      </w:pPr>
      <w:r>
        <w:rPr>
          <w:b/>
          <w:color w:val="C94C4C"/>
        </w:rPr>
        <w:t xml:space="preserve">• </w:t>
      </w:r>
      <w:r>
        <w:t>Repetition history, draw-claim ownership, dead-position scope or 50/75-move policy is implicit.</w:t>
      </w:r>
    </w:p>
    <w:p>
      <w:pPr>
        <w:pStyle w:val="Bullet"/>
        <w:spacing w:after="60"/>
        <w:ind w:left="346" w:hanging="216"/>
      </w:pPr>
      <w:r>
        <w:rPr>
          <w:b/>
          <w:color w:val="C94C4C"/>
        </w:rPr>
        <w:t xml:space="preserve">• </w:t>
      </w:r>
      <w:r>
        <w:t>A worker directly changes authoritative WDL without an independent checker record.</w:t>
      </w:r>
    </w:p>
    <w:p>
      <w:pPr>
        <w:pStyle w:val="Bullet"/>
        <w:spacing w:after="60"/>
        <w:ind w:left="346" w:hanging="216"/>
      </w:pPr>
      <w:r>
        <w:rPr>
          <w:b/>
          <w:color w:val="C94C4C"/>
        </w:rPr>
        <w:t xml:space="preserve">• </w:t>
      </w:r>
      <w:r>
        <w:t>Compression or seed reconstruction discards information needed to reproduce legal actions or certificates.</w:t>
      </w:r>
    </w:p>
    <w:p>
      <w:pPr>
        <w:pStyle w:val="Bullet"/>
        <w:spacing w:after="60"/>
        <w:ind w:left="346" w:hanging="216"/>
      </w:pPr>
      <w:r>
        <w:rPr>
          <w:b/>
          <w:color w:val="C94C4C"/>
        </w:rPr>
        <w:t xml:space="preserve">• </w:t>
      </w:r>
      <w:r>
        <w:t>The UGTS wrapper becomes less auditable than the conventional exact rule/proof implementation it is meant to discipline.</w:t>
      </w:r>
    </w:p>
    <w:tbl>
      <w:tblPr>
        <w:tblW w:type="auto" w:w="0"/>
        <w:jc w:val="center"/>
        <w:tblLayout w:type="fixed"/>
        <w:tblLook w:firstColumn="1" w:firstRow="1" w:lastColumn="0" w:lastRow="0" w:noHBand="0" w:noVBand="1" w:val="04A0"/>
      </w:tblPr>
      <w:tblGrid>
        <w:gridCol w:w="9978"/>
      </w:tblGrid>
      <w:tr>
        <w:trPr>
          <w:cantSplit/>
          <w:tblHeader/>
        </w:trPr>
        <w:tc>
          <w:tcPr>
            <w:tcW w:type="dxa" w:w="9720"/>
            <w:shd w:fill="F4F0FF"/>
            <w:tcBorders>
              <w:top w:val="single" w:sz="10" w:color="7357C5"/>
              <w:left w:val="single" w:sz="18" w:color="7357C5"/>
              <w:bottom w:val="single" w:sz="10" w:color="7357C5"/>
              <w:right w:val="single" w:sz="10" w:color="7357C5"/>
            </w:tcBorders>
            <w:tcMar>
              <w:top w:w="90" w:type="dxa"/>
              <w:start w:w="125" w:type="dxa"/>
              <w:bottom w:w="90" w:type="dxa"/>
              <w:end w:w="125" w:type="dxa"/>
            </w:tcMar>
          </w:tcPr>
          <w:p>
            <w:pPr>
              <w:spacing w:after="40"/>
            </w:pPr>
            <w:r>
              <w:rPr>
                <w:b/>
                <w:color w:val="7357C5"/>
                <w:sz w:val="18"/>
              </w:rPr>
              <w:t>STOP CONDITION</w:t>
            </w:r>
          </w:p>
          <w:p>
            <w:pPr>
              <w:spacing w:after="0"/>
            </w:pPr>
            <w:r>
              <w:t>When a boundary cannot be certified, the correct output is UNKNOWN plus a reason-coded open obligation. That is a successful safety behavior, not a reason to fabricate a value.</w:t>
            </w:r>
          </w:p>
        </w:tc>
      </w:tr>
    </w:tbl>
    <w:p>
      <w:r>
        <w:br w:type="page"/>
      </w:r>
    </w:p>
    <w:p>
      <w:pPr>
        <w:pStyle w:val="Heading1"/>
      </w:pPr>
      <w:r>
        <w:t>26. Chess Mechanism Catalog C001-C104</w:t>
      </w:r>
    </w:p>
    <w:p>
      <w:pPr>
        <w:pStyle w:val="SectionLead"/>
      </w:pPr>
      <w:r>
        <w:t>Namespaced mechanism records provide traceability without renumbering the broader UGTS catalogs.</w:t>
      </w:r>
    </w:p>
    <w:tbl>
      <w:tblPr>
        <w:tblW w:type="auto" w:w="0"/>
        <w:jc w:val="center"/>
        <w:tblLayout w:type="fixed"/>
        <w:tblLook w:firstColumn="1" w:firstRow="1" w:lastColumn="0" w:lastRow="0" w:noHBand="0" w:noVBand="1" w:val="04A0"/>
      </w:tblPr>
      <w:tblGrid>
        <w:gridCol w:w="2494"/>
        <w:gridCol w:w="2494"/>
        <w:gridCol w:w="2494"/>
        <w:gridCol w:w="2494"/>
      </w:tblGrid>
      <w:tr>
        <w:trPr>
          <w:tblHeader w:val="true"/>
          <w:cantSplit/>
        </w:trPr>
        <w:tc>
          <w:tcPr>
            <w:tcW w:type="dxa" w:w="1800"/>
            <w:shd w:fill="0B1736"/>
            <w:tcMar>
              <w:top w:w="55" w:type="dxa"/>
              <w:start w:w="65" w:type="dxa"/>
              <w:bottom w:w="55" w:type="dxa"/>
              <w:end w:w="65" w:type="dxa"/>
            </w:tcMar>
          </w:tcPr>
          <w:p>
            <w:r>
              <w:rPr>
                <w:b/>
                <w:color w:val="FFFFFF"/>
                <w:sz w:val="13"/>
              </w:rPr>
              <w:t>Domain</w:t>
            </w:r>
          </w:p>
        </w:tc>
        <w:tc>
          <w:tcPr>
            <w:tcW w:type="dxa" w:w="792"/>
            <w:shd w:fill="0B1736"/>
            <w:tcMar>
              <w:top w:w="55" w:type="dxa"/>
              <w:start w:w="65" w:type="dxa"/>
              <w:bottom w:w="55" w:type="dxa"/>
              <w:end w:w="65" w:type="dxa"/>
            </w:tcMar>
          </w:tcPr>
          <w:p>
            <w:r>
              <w:rPr>
                <w:b/>
                <w:color w:val="FFFFFF"/>
                <w:sz w:val="13"/>
              </w:rPr>
              <w:t>Count</w:t>
            </w:r>
          </w:p>
        </w:tc>
        <w:tc>
          <w:tcPr>
            <w:tcW w:type="dxa" w:w="1296"/>
            <w:shd w:fill="0B1736"/>
            <w:tcMar>
              <w:top w:w="55" w:type="dxa"/>
              <w:start w:w="65" w:type="dxa"/>
              <w:bottom w:w="55" w:type="dxa"/>
              <w:end w:w="65" w:type="dxa"/>
            </w:tcMar>
          </w:tcPr>
          <w:p>
            <w:r>
              <w:rPr>
                <w:b/>
                <w:color w:val="FFFFFF"/>
                <w:sz w:val="13"/>
              </w:rPr>
              <w:t>ID span</w:t>
            </w:r>
          </w:p>
        </w:tc>
        <w:tc>
          <w:tcPr>
            <w:tcW w:type="dxa" w:w="5616"/>
            <w:shd w:fill="0B1736"/>
            <w:tcMar>
              <w:top w:w="55" w:type="dxa"/>
              <w:start w:w="65" w:type="dxa"/>
              <w:bottom w:w="55" w:type="dxa"/>
              <w:end w:w="65" w:type="dxa"/>
            </w:tcMar>
          </w:tcPr>
          <w:p>
            <w:r>
              <w:rPr>
                <w:b/>
                <w:color w:val="FFFFFF"/>
                <w:sz w:val="13"/>
              </w:rPr>
              <w:t>Representative records</w:t>
            </w:r>
          </w:p>
        </w:tc>
      </w:tr>
      <w:tr>
        <w:trPr>
          <w:cantSplit/>
        </w:trPr>
        <w:tc>
          <w:tcPr>
            <w:tcW w:type="dxa" w:w="180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Proof</w:t>
            </w:r>
          </w:p>
        </w:tc>
        <w:tc>
          <w:tcPr>
            <w:tcW w:type="dxa" w:w="79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13</w:t>
            </w:r>
          </w:p>
        </w:tc>
        <w:tc>
          <w:tcPr>
            <w:tcW w:type="dxa" w:w="129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C042-C079</w:t>
            </w:r>
          </w:p>
        </w:tc>
        <w:tc>
          <w:tcPr>
            <w:tcW w:type="dxa" w:w="561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OR attacker node; AND defender node; Checkmate leaf; ...</w:t>
            </w:r>
          </w:p>
        </w:tc>
      </w:tr>
      <w:tr>
        <w:trPr>
          <w:cantSplit/>
        </w:trPr>
        <w:tc>
          <w:tcPr>
            <w:tcW w:type="dxa" w:w="180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Tablebase</w:t>
            </w:r>
          </w:p>
        </w:tc>
        <w:tc>
          <w:tcPr>
            <w:tcW w:type="dxa" w:w="79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8</w:t>
            </w:r>
          </w:p>
        </w:tc>
        <w:tc>
          <w:tcPr>
            <w:tcW w:type="dxa" w:w="129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C048-C058</w:t>
            </w:r>
          </w:p>
        </w:tc>
        <w:tc>
          <w:tcPr>
            <w:tcW w:type="dxa" w:w="561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KXK exact profile; Validity cell; Terminal initialization; ...</w:t>
            </w:r>
          </w:p>
        </w:tc>
      </w:tr>
      <w:tr>
        <w:trPr>
          <w:cantSplit/>
        </w:trPr>
        <w:tc>
          <w:tcPr>
            <w:tcW w:type="dxa" w:w="180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Campaign</w:t>
            </w:r>
          </w:p>
        </w:tc>
        <w:tc>
          <w:tcPr>
            <w:tcW w:type="dxa" w:w="79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7</w:t>
            </w:r>
          </w:p>
        </w:tc>
        <w:tc>
          <w:tcPr>
            <w:tcW w:type="dxa" w:w="129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C080-C086</w:t>
            </w:r>
          </w:p>
        </w:tc>
        <w:tc>
          <w:tcPr>
            <w:tcW w:type="dxa" w:w="561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Twenty root obligations; Root WDL aggregate; SQLite obligation ledger; ...</w:t>
            </w:r>
          </w:p>
        </w:tc>
      </w:tr>
      <w:tr>
        <w:trPr>
          <w:cantSplit/>
        </w:trPr>
        <w:tc>
          <w:tcPr>
            <w:tcW w:type="dxa" w:w="180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GPU</w:t>
            </w:r>
          </w:p>
        </w:tc>
        <w:tc>
          <w:tcPr>
            <w:tcW w:type="dxa" w:w="79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7</w:t>
            </w:r>
          </w:p>
        </w:tc>
        <w:tc>
          <w:tcPr>
            <w:tcW w:type="dxa" w:w="129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C089-C097</w:t>
            </w:r>
          </w:p>
        </w:tc>
        <w:tc>
          <w:tcPr>
            <w:tcW w:type="dxa" w:w="561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CUDA fixed-point kernel; GPU proposal-only authority; Batch move protocol; ...</w:t>
            </w:r>
          </w:p>
        </w:tc>
      </w:tr>
      <w:tr>
        <w:trPr>
          <w:cantSplit/>
        </w:trPr>
        <w:tc>
          <w:tcPr>
            <w:tcW w:type="dxa" w:w="180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State</w:t>
            </w:r>
          </w:p>
        </w:tc>
        <w:tc>
          <w:tcPr>
            <w:tcW w:type="dxa" w:w="79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7</w:t>
            </w:r>
          </w:p>
        </w:tc>
        <w:tc>
          <w:tcPr>
            <w:tcW w:type="dxa" w:w="129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C003-C072</w:t>
            </w:r>
          </w:p>
        </w:tc>
        <w:tc>
          <w:tcPr>
            <w:tcW w:type="dxa" w:w="561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Position tuple; Side-to-move bit; Castling-right mask; ...</w:t>
            </w:r>
          </w:p>
        </w:tc>
      </w:tr>
      <w:tr>
        <w:trPr>
          <w:cantSplit/>
        </w:trPr>
        <w:tc>
          <w:tcPr>
            <w:tcW w:type="dxa" w:w="180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Search</w:t>
            </w:r>
          </w:p>
        </w:tc>
        <w:tc>
          <w:tcPr>
            <w:tcW w:type="dxa" w:w="79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6</w:t>
            </w:r>
          </w:p>
        </w:tc>
        <w:tc>
          <w:tcPr>
            <w:tcW w:type="dxa" w:w="129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C036-C041</w:t>
            </w:r>
          </w:p>
        </w:tc>
        <w:tc>
          <w:tcPr>
            <w:tcW w:type="dxa" w:w="561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Alpha-beta negamax; Iterative deepening; Quiescence; ...</w:t>
            </w:r>
          </w:p>
        </w:tc>
      </w:tr>
      <w:tr>
        <w:trPr>
          <w:cantSplit/>
        </w:trPr>
        <w:tc>
          <w:tcPr>
            <w:tcW w:type="dxa" w:w="180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Validation</w:t>
            </w:r>
          </w:p>
        </w:tc>
        <w:tc>
          <w:tcPr>
            <w:tcW w:type="dxa" w:w="79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5</w:t>
            </w:r>
          </w:p>
        </w:tc>
        <w:tc>
          <w:tcPr>
            <w:tcW w:type="dxa" w:w="129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C033-C103</w:t>
            </w:r>
          </w:p>
        </w:tc>
        <w:tc>
          <w:tcPr>
            <w:tcW w:type="dxa" w:w="561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Perft oracle; Automated release gates; Python/C++ perft differential; ...</w:t>
            </w:r>
          </w:p>
        </w:tc>
      </w:tr>
      <w:tr>
        <w:trPr>
          <w:cantSplit/>
        </w:trPr>
        <w:tc>
          <w:tcPr>
            <w:tcW w:type="dxa" w:w="180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Rules</w:t>
            </w:r>
          </w:p>
        </w:tc>
        <w:tc>
          <w:tcPr>
            <w:tcW w:type="dxa" w:w="79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4</w:t>
            </w:r>
          </w:p>
        </w:tc>
        <w:tc>
          <w:tcPr>
            <w:tcW w:type="dxa" w:w="129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C066-C069</w:t>
            </w:r>
          </w:p>
        </w:tc>
        <w:tc>
          <w:tcPr>
            <w:tcW w:type="dxa" w:w="561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Claim-as-action semantics; Intended-move draw claim; Fivefold automatic guard; ...</w:t>
            </w:r>
          </w:p>
        </w:tc>
      </w:tr>
      <w:tr>
        <w:trPr>
          <w:cantSplit/>
        </w:trPr>
        <w:tc>
          <w:tcPr>
            <w:tcW w:type="dxa" w:w="180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Terminal</w:t>
            </w:r>
          </w:p>
        </w:tc>
        <w:tc>
          <w:tcPr>
            <w:tcW w:type="dxa" w:w="79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4</w:t>
            </w:r>
          </w:p>
        </w:tc>
        <w:tc>
          <w:tcPr>
            <w:tcW w:type="dxa" w:w="129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C028-C031</w:t>
            </w:r>
          </w:p>
        </w:tc>
        <w:tc>
          <w:tcPr>
            <w:tcW w:type="dxa" w:w="561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Checkmate relation; Stalemate relation; Dead-position subset; ...</w:t>
            </w:r>
          </w:p>
        </w:tc>
      </w:tr>
      <w:tr>
        <w:trPr>
          <w:cantSplit/>
        </w:trPr>
        <w:tc>
          <w:tcPr>
            <w:tcW w:type="dxa" w:w="180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Guard</w:t>
            </w:r>
          </w:p>
        </w:tc>
        <w:tc>
          <w:tcPr>
            <w:tcW w:type="dxa" w:w="79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3</w:t>
            </w:r>
          </w:p>
        </w:tc>
        <w:tc>
          <w:tcPr>
            <w:tcW w:type="dxa" w:w="129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C018-C020</w:t>
            </w:r>
          </w:p>
        </w:tc>
        <w:tc>
          <w:tcPr>
            <w:tcW w:type="dxa" w:w="561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King-safety guard; Castling transit guard; En-passant exposure guard</w:t>
            </w:r>
          </w:p>
        </w:tc>
      </w:tr>
      <w:tr>
        <w:trPr>
          <w:cantSplit/>
        </w:trPr>
        <w:tc>
          <w:tcPr>
            <w:tcW w:type="dxa" w:w="180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Identity</w:t>
            </w:r>
          </w:p>
        </w:tc>
        <w:tc>
          <w:tcPr>
            <w:tcW w:type="dxa" w:w="79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3</w:t>
            </w:r>
          </w:p>
        </w:tc>
        <w:tc>
          <w:tcPr>
            <w:tcW w:type="dxa" w:w="129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C005-C070</w:t>
            </w:r>
          </w:p>
        </w:tc>
        <w:tc>
          <w:tcPr>
            <w:tcW w:type="dxa" w:w="561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Piece identity; Repetition identity; Legal en-passant repetition right</w:t>
            </w:r>
          </w:p>
        </w:tc>
      </w:tr>
      <w:tr>
        <w:trPr>
          <w:cantSplit/>
        </w:trPr>
        <w:tc>
          <w:tcPr>
            <w:tcW w:type="dxa" w:w="180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Packing</w:t>
            </w:r>
          </w:p>
        </w:tc>
        <w:tc>
          <w:tcPr>
            <w:tcW w:type="dxa" w:w="79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3</w:t>
            </w:r>
          </w:p>
        </w:tc>
        <w:tc>
          <w:tcPr>
            <w:tcW w:type="dxa" w:w="129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C049-C092</w:t>
            </w:r>
          </w:p>
        </w:tc>
        <w:tc>
          <w:tcPr>
            <w:tcW w:type="dxa" w:w="561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Dense 19-bit KXK key; 64-byte packed position; 16-bit move code</w:t>
            </w:r>
          </w:p>
        </w:tc>
      </w:tr>
      <w:tr>
        <w:trPr>
          <w:cantSplit/>
        </w:trPr>
        <w:tc>
          <w:tcPr>
            <w:tcW w:type="dxa" w:w="180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Transition</w:t>
            </w:r>
          </w:p>
        </w:tc>
        <w:tc>
          <w:tcPr>
            <w:tcW w:type="dxa" w:w="79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3</w:t>
            </w:r>
          </w:p>
        </w:tc>
        <w:tc>
          <w:tcPr>
            <w:tcW w:type="dxa" w:w="129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C023-C025</w:t>
            </w:r>
          </w:p>
        </w:tc>
        <w:tc>
          <w:tcPr>
            <w:tcW w:type="dxa" w:w="561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Deterministic board patch; Rights patch; Clock and turn patch</w:t>
            </w:r>
          </w:p>
        </w:tc>
      </w:tr>
      <w:tr>
        <w:trPr>
          <w:cantSplit/>
        </w:trPr>
        <w:tc>
          <w:tcPr>
            <w:tcW w:type="dxa" w:w="180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Encoding</w:t>
            </w:r>
          </w:p>
        </w:tc>
        <w:tc>
          <w:tcPr>
            <w:tcW w:type="dxa" w:w="79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2</w:t>
            </w:r>
          </w:p>
        </w:tc>
        <w:tc>
          <w:tcPr>
            <w:tcW w:type="dxa" w:w="129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C010-C034</w:t>
            </w:r>
          </w:p>
        </w:tc>
        <w:tc>
          <w:tcPr>
            <w:tcW w:type="dxa" w:w="561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Strict FEN codec; SAN projection</w:t>
            </w:r>
          </w:p>
        </w:tc>
      </w:tr>
      <w:tr>
        <w:trPr>
          <w:cantSplit/>
        </w:trPr>
        <w:tc>
          <w:tcPr>
            <w:tcW w:type="dxa" w:w="180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Event</w:t>
            </w:r>
          </w:p>
        </w:tc>
        <w:tc>
          <w:tcPr>
            <w:tcW w:type="dxa" w:w="79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2</w:t>
            </w:r>
          </w:p>
        </w:tc>
        <w:tc>
          <w:tcPr>
            <w:tcW w:type="dxa" w:w="129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C022-C026</w:t>
            </w:r>
          </w:p>
        </w:tc>
        <w:tc>
          <w:tcPr>
            <w:tcW w:type="dxa" w:w="561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Move proposal; Move event record</w:t>
            </w:r>
          </w:p>
        </w:tc>
      </w:tr>
      <w:tr>
        <w:trPr>
          <w:cantSplit/>
        </w:trPr>
        <w:tc>
          <w:tcPr>
            <w:tcW w:type="dxa" w:w="180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Governance</w:t>
            </w:r>
          </w:p>
        </w:tc>
        <w:tc>
          <w:tcPr>
            <w:tcW w:type="dxa" w:w="79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2</w:t>
            </w:r>
          </w:p>
        </w:tc>
        <w:tc>
          <w:tcPr>
            <w:tcW w:type="dxa" w:w="129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C002-C065</w:t>
            </w:r>
          </w:p>
        </w:tc>
        <w:tc>
          <w:tcPr>
            <w:tcW w:type="dxa" w:w="561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Evidence boundary; Component-scoped release identity</w:t>
            </w:r>
          </w:p>
        </w:tc>
      </w:tr>
      <w:tr>
        <w:trPr>
          <w:cantSplit/>
        </w:trPr>
        <w:tc>
          <w:tcPr>
            <w:tcW w:type="dxa" w:w="180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Native</w:t>
            </w:r>
          </w:p>
        </w:tc>
        <w:tc>
          <w:tcPr>
            <w:tcW w:type="dxa" w:w="79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2</w:t>
            </w:r>
          </w:p>
        </w:tc>
        <w:tc>
          <w:tcPr>
            <w:tcW w:type="dxa" w:w="129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C087-C088</w:t>
            </w:r>
          </w:p>
        </w:tc>
        <w:tc>
          <w:tcPr>
            <w:tcW w:type="dxa" w:w="561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C++20 exact rule oracle; Finite WDL fixed-point demo</w:t>
            </w:r>
          </w:p>
        </w:tc>
      </w:tr>
      <w:tr>
        <w:trPr>
          <w:cantSplit/>
        </w:trPr>
        <w:tc>
          <w:tcPr>
            <w:tcW w:type="dxa" w:w="180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Persistence</w:t>
            </w:r>
          </w:p>
        </w:tc>
        <w:tc>
          <w:tcPr>
            <w:tcW w:type="dxa" w:w="79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2</w:t>
            </w:r>
          </w:p>
        </w:tc>
        <w:tc>
          <w:tcPr>
            <w:tcW w:type="dxa" w:w="129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C011-C012</w:t>
            </w:r>
          </w:p>
        </w:tc>
        <w:tc>
          <w:tcPr>
            <w:tcW w:type="dxa" w:w="561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Canonical state record; SHA-256 state identity</w:t>
            </w:r>
          </w:p>
        </w:tc>
      </w:tr>
      <w:tr>
        <w:trPr>
          <w:cantSplit/>
        </w:trPr>
        <w:tc>
          <w:tcPr>
            <w:tcW w:type="dxa" w:w="180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Roadmap</w:t>
            </w:r>
          </w:p>
        </w:tc>
        <w:tc>
          <w:tcPr>
            <w:tcW w:type="dxa" w:w="79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2</w:t>
            </w:r>
          </w:p>
        </w:tc>
        <w:tc>
          <w:tcPr>
            <w:tcW w:type="dxa" w:w="129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C064-C104</w:t>
            </w:r>
          </w:p>
        </w:tc>
        <w:tc>
          <w:tcPr>
            <w:tcW w:type="dxa" w:w="561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Distributed global proof sharding; Initial-position proof promotion gate</w:t>
            </w:r>
          </w:p>
        </w:tc>
      </w:tr>
      <w:tr>
        <w:trPr>
          <w:cantSplit/>
        </w:trPr>
        <w:tc>
          <w:tcPr>
            <w:tcW w:type="dxa" w:w="180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Storage</w:t>
            </w:r>
          </w:p>
        </w:tc>
        <w:tc>
          <w:tcPr>
            <w:tcW w:type="dxa" w:w="79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2</w:t>
            </w:r>
          </w:p>
        </w:tc>
        <w:tc>
          <w:tcPr>
            <w:tcW w:type="dxa" w:w="129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C098-C099</w:t>
            </w:r>
          </w:p>
        </w:tc>
        <w:tc>
          <w:tcPr>
            <w:tcW w:type="dxa" w:w="561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Disk-backed proof DAG target; 64-bit index boundary</w:t>
            </w:r>
          </w:p>
        </w:tc>
      </w:tr>
      <w:tr>
        <w:trPr>
          <w:cantSplit/>
        </w:trPr>
        <w:tc>
          <w:tcPr>
            <w:tcW w:type="dxa" w:w="180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Branch</w:t>
            </w:r>
          </w:p>
        </w:tc>
        <w:tc>
          <w:tcPr>
            <w:tcW w:type="dxa" w:w="79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1</w:t>
            </w:r>
          </w:p>
        </w:tc>
        <w:tc>
          <w:tcPr>
            <w:tcW w:type="dxa" w:w="129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C021-C021</w:t>
            </w:r>
          </w:p>
        </w:tc>
        <w:tc>
          <w:tcPr>
            <w:tcW w:type="dxa" w:w="561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Promotion branch</w:t>
            </w:r>
          </w:p>
        </w:tc>
      </w:tr>
      <w:tr>
        <w:trPr>
          <w:cantSplit/>
        </w:trPr>
        <w:tc>
          <w:tcPr>
            <w:tcW w:type="dxa" w:w="180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Compatibility</w:t>
            </w:r>
          </w:p>
        </w:tc>
        <w:tc>
          <w:tcPr>
            <w:tcW w:type="dxa" w:w="79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1</w:t>
            </w:r>
          </w:p>
        </w:tc>
        <w:tc>
          <w:tcPr>
            <w:tcW w:type="dxa" w:w="129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C016-C016</w:t>
            </w:r>
          </w:p>
        </w:tc>
        <w:tc>
          <w:tcPr>
            <w:tcW w:type="dxa" w:w="561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Occupancy and color gate</w:t>
            </w:r>
          </w:p>
        </w:tc>
      </w:tr>
      <w:tr>
        <w:trPr>
          <w:cantSplit/>
        </w:trPr>
        <w:tc>
          <w:tcPr>
            <w:tcW w:type="dxa" w:w="180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Compression</w:t>
            </w:r>
          </w:p>
        </w:tc>
        <w:tc>
          <w:tcPr>
            <w:tcW w:type="dxa" w:w="79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1</w:t>
            </w:r>
          </w:p>
        </w:tc>
        <w:tc>
          <w:tcPr>
            <w:tcW w:type="dxa" w:w="129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C056-C056</w:t>
            </w:r>
          </w:p>
        </w:tc>
        <w:tc>
          <w:tcPr>
            <w:tcW w:type="dxa" w:w="561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Gzip table transport</w:t>
            </w:r>
          </w:p>
        </w:tc>
      </w:tr>
      <w:tr>
        <w:trPr>
          <w:cantSplit/>
        </w:trPr>
        <w:tc>
          <w:tcPr>
            <w:tcW w:type="dxa" w:w="180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Coordinates</w:t>
            </w:r>
          </w:p>
        </w:tc>
        <w:tc>
          <w:tcPr>
            <w:tcW w:type="dxa" w:w="79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1</w:t>
            </w:r>
          </w:p>
        </w:tc>
        <w:tc>
          <w:tcPr>
            <w:tcW w:type="dxa" w:w="129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C004-C004</w:t>
            </w:r>
          </w:p>
        </w:tc>
        <w:tc>
          <w:tcPr>
            <w:tcW w:type="dxa" w:w="561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Square address</w:t>
            </w:r>
          </w:p>
        </w:tc>
      </w:tr>
      <w:tr>
        <w:trPr>
          <w:cantSplit/>
        </w:trPr>
        <w:tc>
          <w:tcPr>
            <w:tcW w:type="dxa" w:w="180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Evidence</w:t>
            </w:r>
          </w:p>
        </w:tc>
        <w:tc>
          <w:tcPr>
            <w:tcW w:type="dxa" w:w="79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1</w:t>
            </w:r>
          </w:p>
        </w:tc>
        <w:tc>
          <w:tcPr>
            <w:tcW w:type="dxa" w:w="129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C059-C059</w:t>
            </w:r>
          </w:p>
        </w:tc>
        <w:tc>
          <w:tcPr>
            <w:tcW w:type="dxa" w:w="561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Tablebase metadata</w:t>
            </w:r>
          </w:p>
        </w:tc>
      </w:tr>
      <w:tr>
        <w:trPr>
          <w:cantSplit/>
        </w:trPr>
        <w:tc>
          <w:tcPr>
            <w:tcW w:type="dxa" w:w="180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Heuristic</w:t>
            </w:r>
          </w:p>
        </w:tc>
        <w:tc>
          <w:tcPr>
            <w:tcW w:type="dxa" w:w="79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1</w:t>
            </w:r>
          </w:p>
        </w:tc>
        <w:tc>
          <w:tcPr>
            <w:tcW w:type="dxa" w:w="129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C035-C035</w:t>
            </w:r>
          </w:p>
        </w:tc>
        <w:tc>
          <w:tcPr>
            <w:tcW w:type="dxa" w:w="561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Transparent evaluation</w:t>
            </w:r>
          </w:p>
        </w:tc>
      </w:tr>
      <w:tr>
        <w:trPr>
          <w:cantSplit/>
        </w:trPr>
        <w:tc>
          <w:tcPr>
            <w:tcW w:type="dxa" w:w="180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Indexing</w:t>
            </w:r>
          </w:p>
        </w:tc>
        <w:tc>
          <w:tcPr>
            <w:tcW w:type="dxa" w:w="79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1</w:t>
            </w:r>
          </w:p>
        </w:tc>
        <w:tc>
          <w:tcPr>
            <w:tcW w:type="dxa" w:w="129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C013-C013</w:t>
            </w:r>
          </w:p>
        </w:tc>
        <w:tc>
          <w:tcPr>
            <w:tcW w:type="dxa" w:w="561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Compact 64-bit cache key</w:t>
            </w:r>
          </w:p>
        </w:tc>
      </w:tr>
      <w:tr>
        <w:trPr>
          <w:cantSplit/>
        </w:trPr>
        <w:tc>
          <w:tcPr>
            <w:tcW w:type="dxa" w:w="180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Integration</w:t>
            </w:r>
          </w:p>
        </w:tc>
        <w:tc>
          <w:tcPr>
            <w:tcW w:type="dxa" w:w="79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1</w:t>
            </w:r>
          </w:p>
        </w:tc>
        <w:tc>
          <w:tcPr>
            <w:tcW w:type="dxa" w:w="129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C100-C100</w:t>
            </w:r>
          </w:p>
        </w:tc>
        <w:tc>
          <w:tcPr>
            <w:tcW w:type="dxa" w:w="561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External tablebase adapter gate</w:t>
            </w:r>
          </w:p>
        </w:tc>
      </w:tr>
      <w:tr>
        <w:trPr>
          <w:cantSplit/>
        </w:trPr>
        <w:tc>
          <w:tcPr>
            <w:tcW w:type="dxa" w:w="180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Presentation</w:t>
            </w:r>
          </w:p>
        </w:tc>
        <w:tc>
          <w:tcPr>
            <w:tcW w:type="dxa" w:w="79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1</w:t>
            </w:r>
          </w:p>
        </w:tc>
        <w:tc>
          <w:tcPr>
            <w:tcW w:type="dxa" w:w="129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C062-C062</w:t>
            </w:r>
          </w:p>
        </w:tc>
        <w:tc>
          <w:tcPr>
            <w:tcW w:type="dxa" w:w="561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Offline proof viewer</w:t>
            </w:r>
          </w:p>
        </w:tc>
      </w:tr>
      <w:tr>
        <w:trPr>
          <w:cantSplit/>
        </w:trPr>
        <w:tc>
          <w:tcPr>
            <w:tcW w:type="dxa" w:w="180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Profile</w:t>
            </w:r>
          </w:p>
        </w:tc>
        <w:tc>
          <w:tcPr>
            <w:tcW w:type="dxa" w:w="79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1</w:t>
            </w:r>
          </w:p>
        </w:tc>
        <w:tc>
          <w:tcPr>
            <w:tcW w:type="dxa" w:w="129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C001-C001</w:t>
            </w:r>
          </w:p>
        </w:tc>
        <w:tc>
          <w:tcPr>
            <w:tcW w:type="dxa" w:w="561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UGTS chess solver profile</w:t>
            </w:r>
          </w:p>
        </w:tc>
      </w:tr>
      <w:tr>
        <w:trPr>
          <w:cantSplit/>
        </w:trPr>
        <w:tc>
          <w:tcPr>
            <w:tcW w:type="dxa" w:w="180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Query</w:t>
            </w:r>
          </w:p>
        </w:tc>
        <w:tc>
          <w:tcPr>
            <w:tcW w:type="dxa" w:w="79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1</w:t>
            </w:r>
          </w:p>
        </w:tc>
        <w:tc>
          <w:tcPr>
            <w:tcW w:type="dxa" w:w="129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C032-C032</w:t>
            </w:r>
          </w:p>
        </w:tc>
        <w:tc>
          <w:tcPr>
            <w:tcW w:type="dxa" w:w="561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Legal move enumeration</w:t>
            </w:r>
          </w:p>
        </w:tc>
      </w:tr>
      <w:tr>
        <w:trPr>
          <w:cantSplit/>
        </w:trPr>
        <w:tc>
          <w:tcPr>
            <w:tcW w:type="dxa" w:w="180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Relation</w:t>
            </w:r>
          </w:p>
        </w:tc>
        <w:tc>
          <w:tcPr>
            <w:tcW w:type="dxa" w:w="79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1</w:t>
            </w:r>
          </w:p>
        </w:tc>
        <w:tc>
          <w:tcPr>
            <w:tcW w:type="dxa" w:w="129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C017-C017</w:t>
            </w:r>
          </w:p>
        </w:tc>
        <w:tc>
          <w:tcPr>
            <w:tcW w:type="dxa" w:w="561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Attack relation</w:t>
            </w:r>
          </w:p>
        </w:tc>
      </w:tr>
      <w:tr>
        <w:trPr>
          <w:cantSplit/>
        </w:trPr>
        <w:tc>
          <w:tcPr>
            <w:tcW w:type="dxa" w:w="180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Replay</w:t>
            </w:r>
          </w:p>
        </w:tc>
        <w:tc>
          <w:tcPr>
            <w:tcW w:type="dxa" w:w="79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1</w:t>
            </w:r>
          </w:p>
        </w:tc>
        <w:tc>
          <w:tcPr>
            <w:tcW w:type="dxa" w:w="129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C027-C027</w:t>
            </w:r>
          </w:p>
        </w:tc>
        <w:tc>
          <w:tcPr>
            <w:tcW w:type="dxa" w:w="561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Hash-checked replay</w:t>
            </w:r>
          </w:p>
        </w:tc>
      </w:tr>
      <w:tr>
        <w:trPr>
          <w:cantSplit/>
        </w:trPr>
        <w:tc>
          <w:tcPr>
            <w:tcW w:type="dxa" w:w="180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Schema</w:t>
            </w:r>
          </w:p>
        </w:tc>
        <w:tc>
          <w:tcPr>
            <w:tcW w:type="dxa" w:w="79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1</w:t>
            </w:r>
          </w:p>
        </w:tc>
        <w:tc>
          <w:tcPr>
            <w:tcW w:type="dxa" w:w="129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C061-C061</w:t>
            </w:r>
          </w:p>
        </w:tc>
        <w:tc>
          <w:tcPr>
            <w:tcW w:type="dxa" w:w="561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JSON contracts</w:t>
            </w:r>
          </w:p>
        </w:tc>
      </w:tr>
      <w:tr>
        <w:trPr>
          <w:cantSplit/>
        </w:trPr>
        <w:tc>
          <w:tcPr>
            <w:tcW w:type="dxa" w:w="180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Support</w:t>
            </w:r>
          </w:p>
        </w:tc>
        <w:tc>
          <w:tcPr>
            <w:tcW w:type="dxa" w:w="79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1</w:t>
            </w:r>
          </w:p>
        </w:tc>
        <w:tc>
          <w:tcPr>
            <w:tcW w:type="dxa" w:w="129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C015-C015</w:t>
            </w:r>
          </w:p>
        </w:tc>
        <w:tc>
          <w:tcPr>
            <w:tcW w:type="dxa" w:w="561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Piece movement support</w:t>
            </w:r>
          </w:p>
        </w:tc>
      </w:tr>
      <w:tr>
        <w:trPr>
          <w:cantSplit/>
        </w:trPr>
        <w:tc>
          <w:tcPr>
            <w:tcW w:type="dxa" w:w="180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Symmetry</w:t>
            </w:r>
          </w:p>
        </w:tc>
        <w:tc>
          <w:tcPr>
            <w:tcW w:type="dxa" w:w="792"/>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1</w:t>
            </w:r>
          </w:p>
        </w:tc>
        <w:tc>
          <w:tcPr>
            <w:tcW w:type="dxa" w:w="129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C057-C057</w:t>
            </w:r>
          </w:p>
        </w:tc>
        <w:tc>
          <w:tcPr>
            <w:tcW w:type="dxa" w:w="561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Black-strong normalization</w:t>
            </w:r>
          </w:p>
        </w:tc>
      </w:tr>
      <w:tr>
        <w:trPr>
          <w:cantSplit/>
        </w:trPr>
        <w:tc>
          <w:tcPr>
            <w:tcW w:type="dxa" w:w="180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Tooling</w:t>
            </w:r>
          </w:p>
        </w:tc>
        <w:tc>
          <w:tcPr>
            <w:tcW w:type="dxa" w:w="792"/>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1</w:t>
            </w:r>
          </w:p>
        </w:tc>
        <w:tc>
          <w:tcPr>
            <w:tcW w:type="dxa" w:w="129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C060-C060</w:t>
            </w:r>
          </w:p>
        </w:tc>
        <w:tc>
          <w:tcPr>
            <w:tcW w:type="dxa" w:w="561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Command-line workflow</w:t>
            </w:r>
          </w:p>
        </w:tc>
      </w:tr>
    </w:tbl>
    <w:p>
      <w:pPr>
        <w:pStyle w:val="Heading2"/>
      </w:pPr>
      <w:r>
        <w:t>26.1 Representative 2.0 additions</w:t>
      </w:r>
    </w:p>
    <w:tbl>
      <w:tblPr>
        <w:tblW w:type="auto" w:w="0"/>
        <w:jc w:val="center"/>
        <w:tblLayout w:type="fixed"/>
        <w:tblLook w:firstColumn="1" w:firstRow="1" w:lastColumn="0" w:lastRow="0" w:noHBand="0" w:noVBand="1" w:val="04A0"/>
      </w:tblPr>
      <w:tblGrid>
        <w:gridCol w:w="2494"/>
        <w:gridCol w:w="2494"/>
        <w:gridCol w:w="2494"/>
        <w:gridCol w:w="2494"/>
      </w:tblGrid>
      <w:tr>
        <w:trPr>
          <w:tblHeader w:val="true"/>
          <w:cantSplit/>
        </w:trPr>
        <w:tc>
          <w:tcPr>
            <w:tcW w:type="dxa" w:w="648"/>
            <w:shd w:fill="0B1736"/>
            <w:tcMar>
              <w:top w:w="55" w:type="dxa"/>
              <w:start w:w="65" w:type="dxa"/>
              <w:bottom w:w="55" w:type="dxa"/>
              <w:end w:w="65" w:type="dxa"/>
            </w:tcMar>
          </w:tcPr>
          <w:p>
            <w:r>
              <w:rPr>
                <w:b/>
                <w:color w:val="FFFFFF"/>
                <w:sz w:val="13"/>
              </w:rPr>
              <w:t>ID</w:t>
            </w:r>
          </w:p>
        </w:tc>
        <w:tc>
          <w:tcPr>
            <w:tcW w:type="dxa" w:w="1440"/>
            <w:shd w:fill="0B1736"/>
            <w:tcMar>
              <w:top w:w="55" w:type="dxa"/>
              <w:start w:w="65" w:type="dxa"/>
              <w:bottom w:w="55" w:type="dxa"/>
              <w:end w:w="65" w:type="dxa"/>
            </w:tcMar>
          </w:tcPr>
          <w:p>
            <w:r>
              <w:rPr>
                <w:b/>
                <w:color w:val="FFFFFF"/>
                <w:sz w:val="13"/>
              </w:rPr>
              <w:t>Domain</w:t>
            </w:r>
          </w:p>
        </w:tc>
        <w:tc>
          <w:tcPr>
            <w:tcW w:type="dxa" w:w="2088"/>
            <w:shd w:fill="0B1736"/>
            <w:tcMar>
              <w:top w:w="55" w:type="dxa"/>
              <w:start w:w="65" w:type="dxa"/>
              <w:bottom w:w="55" w:type="dxa"/>
              <w:end w:w="65" w:type="dxa"/>
            </w:tcMar>
          </w:tcPr>
          <w:p>
            <w:r>
              <w:rPr>
                <w:b/>
                <w:color w:val="FFFFFF"/>
                <w:sz w:val="13"/>
              </w:rPr>
              <w:t>Mechanism</w:t>
            </w:r>
          </w:p>
        </w:tc>
        <w:tc>
          <w:tcPr>
            <w:tcW w:type="dxa" w:w="5328"/>
            <w:shd w:fill="0B1736"/>
            <w:tcMar>
              <w:top w:w="55" w:type="dxa"/>
              <w:start w:w="65" w:type="dxa"/>
              <w:bottom w:w="55" w:type="dxa"/>
              <w:end w:w="65" w:type="dxa"/>
            </w:tcMar>
          </w:tcPr>
          <w:p>
            <w:r>
              <w:rPr>
                <w:b/>
                <w:color w:val="FFFFFF"/>
                <w:sz w:val="13"/>
              </w:rPr>
              <w:t>Normalized definition</w:t>
            </w:r>
          </w:p>
        </w:tc>
      </w:tr>
      <w:tr>
        <w:trPr>
          <w:cantSplit/>
        </w:trPr>
        <w:tc>
          <w:tcPr>
            <w:tcW w:type="dxa" w:w="64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C065</w:t>
            </w:r>
          </w:p>
        </w:tc>
        <w:tc>
          <w:tcPr>
            <w:tcW w:type="dxa" w:w="144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Governance</w:t>
            </w:r>
          </w:p>
        </w:tc>
        <w:tc>
          <w:tcPr>
            <w:tcW w:type="dxa" w:w="208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Component-scoped release identity</w:t>
            </w:r>
          </w:p>
        </w:tc>
        <w:tc>
          <w:tcPr>
            <w:tcW w:type="dxa" w:w="532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Name the upgrade ugts.application.chess-proof@2.0.0 rather than treating every UGTS number as one global ladder.</w:t>
            </w:r>
          </w:p>
        </w:tc>
      </w:tr>
      <w:tr>
        <w:trPr>
          <w:cantSplit/>
        </w:trPr>
        <w:tc>
          <w:tcPr>
            <w:tcW w:type="dxa" w:w="64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C069</w:t>
            </w:r>
          </w:p>
        </w:tc>
        <w:tc>
          <w:tcPr>
            <w:tcW w:type="dxa" w:w="144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Rules</w:t>
            </w:r>
          </w:p>
        </w:tc>
        <w:tc>
          <w:tcPr>
            <w:tcW w:type="dxa" w:w="208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Seventy-five-move automatic guard</w:t>
            </w:r>
          </w:p>
        </w:tc>
        <w:tc>
          <w:tcPr>
            <w:tcW w:type="dxa" w:w="532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Terminate at 150 reversible plies, with checkmate taking precedence.</w:t>
            </w:r>
          </w:p>
        </w:tc>
      </w:tr>
      <w:tr>
        <w:trPr>
          <w:cantSplit/>
        </w:trPr>
        <w:tc>
          <w:tcPr>
            <w:tcW w:type="dxa" w:w="64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C073</w:t>
            </w:r>
          </w:p>
        </w:tc>
        <w:tc>
          <w:tcPr>
            <w:tcW w:type="dxa" w:w="144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Proof</w:t>
            </w:r>
          </w:p>
        </w:tc>
        <w:tc>
          <w:tcPr>
            <w:tcW w:type="dxa" w:w="208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WDL four-value lattice</w:t>
            </w:r>
          </w:p>
        </w:tc>
        <w:tc>
          <w:tcPr>
            <w:tcW w:type="dxa" w:w="532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Use WIN, LOSS, DRAW and UNKNOWN; a cutoff is never coerced to DRAW.</w:t>
            </w:r>
          </w:p>
        </w:tc>
      </w:tr>
      <w:tr>
        <w:trPr>
          <w:cantSplit/>
        </w:trPr>
        <w:tc>
          <w:tcPr>
            <w:tcW w:type="dxa" w:w="64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C078</w:t>
            </w:r>
          </w:p>
        </w:tc>
        <w:tc>
          <w:tcPr>
            <w:tcW w:type="dxa" w:w="144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Proof</w:t>
            </w:r>
          </w:p>
        </w:tc>
        <w:tc>
          <w:tcPr>
            <w:tcW w:type="dxa" w:w="208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Content-addressed WDL node</w:t>
            </w:r>
          </w:p>
        </w:tc>
        <w:tc>
          <w:tcPr>
            <w:tcW w:type="dxa" w:w="532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Hash canonical state, profile, children, values and exactness into each bounded WDL node record.</w:t>
            </w:r>
          </w:p>
        </w:tc>
      </w:tr>
      <w:tr>
        <w:trPr>
          <w:cantSplit/>
        </w:trPr>
        <w:tc>
          <w:tcPr>
            <w:tcW w:type="dxa" w:w="64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C082</w:t>
            </w:r>
          </w:p>
        </w:tc>
        <w:tc>
          <w:tcPr>
            <w:tcW w:type="dxa" w:w="144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Campaign</w:t>
            </w:r>
          </w:p>
        </w:tc>
        <w:tc>
          <w:tcPr>
            <w:tcW w:type="dxa" w:w="208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SQLite obligation ledger</w:t>
            </w:r>
          </w:p>
        </w:tc>
        <w:tc>
          <w:tcPr>
            <w:tcW w:type="dxa" w:w="532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Store root jobs, status, leases, candidate certificate paths and verification records in a transactional database.</w:t>
            </w:r>
          </w:p>
        </w:tc>
      </w:tr>
      <w:tr>
        <w:trPr>
          <w:cantSplit/>
        </w:trPr>
        <w:tc>
          <w:tcPr>
            <w:tcW w:type="dxa" w:w="64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C087</w:t>
            </w:r>
          </w:p>
        </w:tc>
        <w:tc>
          <w:tcPr>
            <w:tcW w:type="dxa" w:w="144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Native</w:t>
            </w:r>
          </w:p>
        </w:tc>
        <w:tc>
          <w:tcPr>
            <w:tcW w:type="dxa" w:w="208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C++20 exact rule oracle</w:t>
            </w:r>
          </w:p>
        </w:tc>
        <w:tc>
          <w:tcPr>
            <w:tcW w:type="dxa" w:w="532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Provide a dependency-light native legality/perft/search/mate implementation independent of Python.</w:t>
            </w:r>
          </w:p>
        </w:tc>
      </w:tr>
      <w:tr>
        <w:trPr>
          <w:cantSplit/>
        </w:trPr>
        <w:tc>
          <w:tcPr>
            <w:tcW w:type="dxa" w:w="64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C092</w:t>
            </w:r>
          </w:p>
        </w:tc>
        <w:tc>
          <w:tcPr>
            <w:tcW w:type="dxa" w:w="144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Packing</w:t>
            </w:r>
          </w:p>
        </w:tc>
        <w:tc>
          <w:tcPr>
            <w:tcW w:type="dxa" w:w="208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16-bit move code</w:t>
            </w:r>
          </w:p>
        </w:tc>
        <w:tc>
          <w:tcPr>
            <w:tcW w:type="dxa" w:w="532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Pack source, destination and promotion into a reversible 16-bit value.</w:t>
            </w:r>
          </w:p>
        </w:tc>
      </w:tr>
      <w:tr>
        <w:trPr>
          <w:cantSplit/>
        </w:trPr>
        <w:tc>
          <w:tcPr>
            <w:tcW w:type="dxa" w:w="64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C097</w:t>
            </w:r>
          </w:p>
        </w:tc>
        <w:tc>
          <w:tcPr>
            <w:tcW w:type="dxa" w:w="144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GPU</w:t>
            </w:r>
          </w:p>
        </w:tc>
        <w:tc>
          <w:tcPr>
            <w:tcW w:type="dxa" w:w="208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Three-stream pipeline</w:t>
            </w:r>
          </w:p>
        </w:tc>
        <w:tc>
          <w:tcPr>
            <w:tcW w:type="dxa" w:w="532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Overlap upload, candidate expansion and download/checking through bounded streams without reordering proof commits.</w:t>
            </w:r>
          </w:p>
        </w:tc>
      </w:tr>
      <w:tr>
        <w:trPr>
          <w:cantSplit/>
        </w:trPr>
        <w:tc>
          <w:tcPr>
            <w:tcW w:type="dxa" w:w="64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C101</w:t>
            </w:r>
          </w:p>
        </w:tc>
        <w:tc>
          <w:tcPr>
            <w:tcW w:type="dxa" w:w="144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Validation</w:t>
            </w:r>
          </w:p>
        </w:tc>
        <w:tc>
          <w:tcPr>
            <w:tcW w:type="dxa" w:w="208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Python/C++ perft differential</w:t>
            </w:r>
          </w:p>
        </w:tc>
        <w:tc>
          <w:tcPr>
            <w:tcW w:type="dxa" w:w="532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Require exact move-path agreement across independent rule kernels on standard stress fixtures.</w:t>
            </w:r>
          </w:p>
        </w:tc>
      </w:tr>
      <w:tr>
        <w:trPr>
          <w:cantSplit/>
        </w:trPr>
        <w:tc>
          <w:tcPr>
            <w:tcW w:type="dxa" w:w="64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3"/>
              </w:rPr>
              <w:t>C104</w:t>
            </w:r>
          </w:p>
        </w:tc>
        <w:tc>
          <w:tcPr>
            <w:tcW w:type="dxa" w:w="144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Roadmap</w:t>
            </w:r>
          </w:p>
        </w:tc>
        <w:tc>
          <w:tcPr>
            <w:tcW w:type="dxa" w:w="208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Initial-position proof promotion gate</w:t>
            </w:r>
          </w:p>
        </w:tc>
        <w:tc>
          <w:tcPr>
            <w:tcW w:type="dxa" w:w="532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3"/>
              </w:rPr>
              <w:t>Promote the root from UNKNOWN only after all quantified WDL obligations, history semantics and checker records close.</w:t>
            </w:r>
          </w:p>
        </w:tc>
      </w:tr>
    </w:tbl>
    <w:tbl>
      <w:tblPr>
        <w:tblW w:type="auto" w:w="0"/>
        <w:jc w:val="center"/>
        <w:tblLayout w:type="fixed"/>
        <w:tblLook w:firstColumn="1" w:firstRow="1" w:lastColumn="0" w:lastRow="0" w:noHBand="0" w:noVBand="1" w:val="04A0"/>
      </w:tblPr>
      <w:tblGrid>
        <w:gridCol w:w="9978"/>
      </w:tblGrid>
      <w:tr>
        <w:trPr>
          <w:cantSplit/>
          <w:tblHeader/>
        </w:trPr>
        <w:tc>
          <w:tcPr>
            <w:tcW w:type="dxa" w:w="9720"/>
            <w:shd w:fill="FFF7E8"/>
            <w:tcBorders>
              <w:top w:val="single" w:sz="10" w:color="E0A819"/>
              <w:left w:val="single" w:sz="18" w:color="E0A819"/>
              <w:bottom w:val="single" w:sz="10" w:color="E0A819"/>
              <w:right w:val="single" w:sz="10" w:color="E0A819"/>
            </w:tcBorders>
            <w:tcMar>
              <w:top w:w="90" w:type="dxa"/>
              <w:start w:w="125" w:type="dxa"/>
              <w:bottom w:w="90" w:type="dxa"/>
              <w:end w:w="125" w:type="dxa"/>
            </w:tcMar>
          </w:tcPr>
          <w:p>
            <w:pPr>
              <w:spacing w:after="40"/>
            </w:pPr>
            <w:r>
              <w:rPr>
                <w:b/>
                <w:color w:val="E0A819"/>
                <w:sz w:val="18"/>
              </w:rPr>
              <w:t>CATALOG MEANING</w:t>
            </w:r>
          </w:p>
          <w:p>
            <w:pPr>
              <w:spacing w:after="0"/>
            </w:pPr>
            <w:r>
              <w:t>An ID records scope, implementation and validation linkage. It is not by itself a claim of scientific novelty, authorship priority, patentability or proof completeness.</w:t>
            </w:r>
          </w:p>
        </w:tc>
      </w:tr>
    </w:tbl>
    <w:p>
      <w:r>
        <w:br w:type="page"/>
      </w:r>
    </w:p>
    <w:p>
      <w:pPr>
        <w:pStyle w:val="Heading1"/>
      </w:pPr>
      <w:r>
        <w:t>27. Accompanying ZIP and Reproduction</w:t>
      </w:r>
    </w:p>
    <w:p>
      <w:pPr>
        <w:pStyle w:val="SectionLead"/>
      </w:pPr>
      <w:r>
        <w:t>The archive is a complete Codex handoff: source, exact data, schemas, campaign state, build scripts, report and captured evidence.</w:t>
      </w:r>
    </w:p>
    <w:p>
      <w:pPr>
        <w:spacing w:after="60"/>
        <w:jc w:val="center"/>
      </w:pPr>
      <w:r>
        <w:drawing>
          <wp:inline xmlns:a="http://schemas.openxmlformats.org/drawingml/2006/main" xmlns:pic="http://schemas.openxmlformats.org/drawingml/2006/picture">
            <wp:extent cx="6144768" cy="3115095"/>
            <wp:docPr id="20" name="Picture 20" descr="Package folders for Python C++ CUDA campaign data specifications scripts and validation" title="package_map.png"/>
            <wp:cNvGraphicFramePr>
              <a:graphicFrameLocks noChangeAspect="1"/>
            </wp:cNvGraphicFramePr>
            <a:graphic>
              <a:graphicData uri="http://schemas.openxmlformats.org/drawingml/2006/picture">
                <pic:pic>
                  <pic:nvPicPr>
                    <pic:cNvPr id="0" name="package_map.png"/>
                    <pic:cNvPicPr/>
                  </pic:nvPicPr>
                  <pic:blipFill>
                    <a:blip r:embed="rId30"/>
                    <a:stretch>
                      <a:fillRect/>
                    </a:stretch>
                  </pic:blipFill>
                  <pic:spPr>
                    <a:xfrm>
                      <a:off x="0" y="0"/>
                      <a:ext cx="6144768" cy="3115095"/>
                    </a:xfrm>
                    <a:prstGeom prst="rect"/>
                  </pic:spPr>
                </pic:pic>
              </a:graphicData>
            </a:graphic>
          </wp:inline>
        </w:drawing>
      </w:r>
    </w:p>
    <w:p>
      <w:pPr>
        <w:pStyle w:val="FigureCaption"/>
        <w:jc w:val="center"/>
      </w:pPr>
      <w:r>
        <w:rPr>
          <w:b/>
        </w:rPr>
        <w:t xml:space="preserve">Figure 19. </w:t>
      </w:r>
      <w:r>
        <w:t>Source PDFs are referenced by title, page basis and SHA-256 but are not redistributed.</w:t>
      </w:r>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2376"/>
            <w:shd w:fill="0B1736"/>
            <w:tcMar>
              <w:top w:w="55" w:type="dxa"/>
              <w:start w:w="65" w:type="dxa"/>
              <w:bottom w:w="55" w:type="dxa"/>
              <w:end w:w="65" w:type="dxa"/>
            </w:tcMar>
          </w:tcPr>
          <w:p>
            <w:r>
              <w:rPr>
                <w:b/>
                <w:color w:val="FFFFFF"/>
                <w:sz w:val="15"/>
              </w:rPr>
              <w:t>Path</w:t>
            </w:r>
          </w:p>
        </w:tc>
        <w:tc>
          <w:tcPr>
            <w:tcW w:type="dxa" w:w="7128"/>
            <w:shd w:fill="0B1736"/>
            <w:tcMar>
              <w:top w:w="55" w:type="dxa"/>
              <w:start w:w="65" w:type="dxa"/>
              <w:bottom w:w="55" w:type="dxa"/>
              <w:end w:w="65" w:type="dxa"/>
            </w:tcMar>
          </w:tcPr>
          <w:p>
            <w:r>
              <w:rPr>
                <w:b/>
                <w:color w:val="FFFFFF"/>
                <w:sz w:val="15"/>
              </w:rPr>
              <w:t>Contents</w:t>
            </w:r>
          </w:p>
        </w:tc>
      </w:tr>
      <w:tr>
        <w:trPr>
          <w:cantSplit/>
        </w:trPr>
        <w:tc>
          <w:tcPr>
            <w:tcW w:type="dxa" w:w="237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src/ugts_chess</w:t>
            </w:r>
          </w:p>
        </w:tc>
        <w:tc>
          <w:tcPr>
            <w:tcW w:type="dxa" w:w="712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Python rule/history oracle, WDL certificates, campaign, tablebases and CLI</w:t>
            </w:r>
          </w:p>
        </w:tc>
      </w:tr>
      <w:tr>
        <w:trPr>
          <w:cantSplit/>
        </w:trPr>
        <w:tc>
          <w:tcPr>
            <w:tcW w:type="dxa" w:w="237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cpp</w:t>
            </w:r>
          </w:p>
        </w:tc>
        <w:tc>
          <w:tcPr>
            <w:tcW w:type="dxa" w:w="712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C++20 core, host tests, packed protocol, CPU fallback and optional CUDA kernels</w:t>
            </w:r>
          </w:p>
        </w:tc>
      </w:tr>
      <w:tr>
        <w:trPr>
          <w:cantSplit/>
        </w:trPr>
        <w:tc>
          <w:tcPr>
            <w:tcW w:type="dxa" w:w="237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examples/campaign</w:t>
            </w:r>
          </w:p>
        </w:tc>
        <w:tc>
          <w:tcPr>
            <w:tcW w:type="dxa" w:w="712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SQLite root campaign, 20 shard JSON records and exact depth-4 workload checkpoint</w:t>
            </w:r>
          </w:p>
        </w:tc>
      </w:tr>
      <w:tr>
        <w:trPr>
          <w:cantSplit/>
        </w:trPr>
        <w:tc>
          <w:tcPr>
            <w:tcW w:type="dxa" w:w="237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data</w:t>
            </w:r>
          </w:p>
        </w:tc>
        <w:tc>
          <w:tcPr>
            <w:tcW w:type="dxa" w:w="712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KQK/KRK compressed exact tables and metadata</w:t>
            </w:r>
          </w:p>
        </w:tc>
      </w:tr>
      <w:tr>
        <w:trPr>
          <w:cantSplit/>
        </w:trPr>
        <w:tc>
          <w:tcPr>
            <w:tcW w:type="dxa" w:w="237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spec</w:t>
            </w:r>
          </w:p>
        </w:tc>
        <w:tc>
          <w:tcPr>
            <w:tcW w:type="dxa" w:w="712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Formal definition, schemas, source register, RTX profile and C001-C104 catalog</w:t>
            </w:r>
          </w:p>
        </w:tc>
      </w:tr>
      <w:tr>
        <w:trPr>
          <w:cantSplit/>
        </w:trPr>
        <w:tc>
          <w:tcPr>
            <w:tcW w:type="dxa" w:w="237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scripts</w:t>
            </w:r>
          </w:p>
        </w:tc>
        <w:tc>
          <w:tcPr>
            <w:tcW w:type="dxa" w:w="712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Codex task, Windows SM120 build and campaign run scripts</w:t>
            </w:r>
          </w:p>
        </w:tc>
      </w:tr>
      <w:tr>
        <w:trPr>
          <w:cantSplit/>
        </w:trPr>
        <w:tc>
          <w:tcPr>
            <w:tcW w:type="dxa" w:w="237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validation</w:t>
            </w:r>
          </w:p>
        </w:tc>
        <w:tc>
          <w:tcPr>
            <w:tcW w:type="dxa" w:w="7128"/>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Host tests, CTest, differential outputs, wheel, manifests and device placeholder</w:t>
            </w:r>
          </w:p>
        </w:tc>
      </w:tr>
      <w:tr>
        <w:trPr>
          <w:cantSplit/>
        </w:trPr>
        <w:tc>
          <w:tcPr>
            <w:tcW w:type="dxa" w:w="237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5"/>
              </w:rPr>
              <w:t>report / web</w:t>
            </w:r>
          </w:p>
        </w:tc>
        <w:tc>
          <w:tcPr>
            <w:tcW w:type="dxa" w:w="7128"/>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5"/>
              </w:rPr>
              <w:t>Editable DOCX, final PDF, diagrams and offline mate-proof viewer</w:t>
            </w:r>
          </w:p>
        </w:tc>
      </w:tr>
    </w:tbl>
    <w:p>
      <w:pPr>
        <w:pStyle w:val="Heading2"/>
      </w:pPr>
      <w:r>
        <w:t>27.1 Host reproduction</w:t>
      </w:r>
    </w:p>
    <w:tbl>
      <w:tblPr>
        <w:tblW w:type="auto" w:w="0"/>
        <w:jc w:val="center"/>
        <w:tblLayout w:type="fixed"/>
        <w:tblLook w:firstColumn="1" w:firstRow="1" w:lastColumn="0" w:lastRow="0" w:noHBand="0" w:noVBand="1" w:val="04A0"/>
      </w:tblPr>
      <w:tblGrid>
        <w:gridCol w:w="9978"/>
      </w:tblGrid>
      <w:tr>
        <w:trPr>
          <w:cantSplit/>
          <w:tblHeader/>
        </w:trPr>
        <w:tc>
          <w:tcPr>
            <w:tcW w:type="dxa" w:w="9720"/>
            <w:shd w:fill="111C35"/>
            <w:tcBorders>
              <w:top w:val="single" w:sz="6" w:color="111C35"/>
              <w:left w:val="single" w:sz="6" w:color="111C35"/>
              <w:bottom w:val="single" w:sz="6" w:color="111C35"/>
              <w:right w:val="single" w:sz="6" w:color="111C35"/>
            </w:tcBorders>
            <w:tcMar>
              <w:top w:w="90" w:type="dxa"/>
              <w:start w:w="120" w:type="dxa"/>
              <w:bottom w:w="90" w:type="dxa"/>
              <w:end w:w="120" w:type="dxa"/>
            </w:tcMar>
          </w:tcPr>
          <w:p>
            <w:pPr>
              <w:spacing w:after="0"/>
            </w:pPr>
            <w:r>
              <w:rPr>
                <w:rFonts w:ascii="Liberation Mono" w:hAnsi="Liberation Mono"/>
                <w:color w:val="EAF2FF"/>
                <w:sz w:val="15"/>
              </w:rPr>
              <w:t>cd UGTS_KC_CHESS_2_0_RTX5070TI</w:t>
              <w:br/>
              <w:t>PYTHONPATH=src python -m unittest discover -s tests -v</w:t>
              <w:br/>
              <w:t>bash scripts/build_host.sh</w:t>
              <w:br/>
              <w:t>PYTHONPATH=src python tools/run_validation_v2.py</w:t>
              <w:br/>
              <w:t>python tools/generate_report_assets.py</w:t>
              <w:br/>
              <w:t>python tools/build_report.py</w:t>
            </w:r>
          </w:p>
        </w:tc>
      </w:tr>
    </w:tbl>
    <w:p>
      <w:r>
        <w:br w:type="page"/>
      </w:r>
    </w:p>
    <w:p>
      <w:pPr>
        <w:pStyle w:val="Heading1"/>
      </w:pPr>
      <w:r>
        <w:t>28. Final Upgraded Definition</w:t>
      </w:r>
    </w:p>
    <w:p>
      <w:pPr>
        <w:pStyle w:val="SectionLead"/>
      </w:pPr>
      <w:r>
        <w:t>The foundation is a proof campaign with optional accelerators, not a search score presented as a solved game.</w:t>
      </w:r>
    </w:p>
    <w:tbl>
      <w:tblPr>
        <w:tblW w:type="auto" w:w="0"/>
        <w:jc w:val="center"/>
        <w:tblLayout w:type="fixed"/>
        <w:tblLook w:firstColumn="1" w:firstRow="1" w:lastColumn="0" w:lastRow="0" w:noHBand="0" w:noVBand="1" w:val="04A0"/>
      </w:tblPr>
      <w:tblGrid>
        <w:gridCol w:w="9978"/>
      </w:tblGrid>
      <w:tr>
        <w:trPr>
          <w:cantSplit/>
          <w:tblHeader/>
        </w:trPr>
        <w:tc>
          <w:tcPr>
            <w:tcW w:type="dxa" w:w="9720"/>
            <w:shd w:fill="EAF8F2"/>
            <w:tcBorders>
              <w:top w:val="single" w:sz="10" w:color="2AA876"/>
              <w:left w:val="single" w:sz="18" w:color="2AA876"/>
              <w:bottom w:val="single" w:sz="10" w:color="2AA876"/>
              <w:right w:val="single" w:sz="10" w:color="2AA876"/>
            </w:tcBorders>
            <w:tcMar>
              <w:top w:w="90" w:type="dxa"/>
              <w:start w:w="125" w:type="dxa"/>
              <w:bottom w:w="90" w:type="dxa"/>
              <w:end w:w="125" w:type="dxa"/>
            </w:tcMar>
          </w:tcPr>
          <w:p>
            <w:pPr>
              <w:spacing w:after="40"/>
            </w:pPr>
            <w:r>
              <w:rPr>
                <w:b/>
                <w:color w:val="2AA876"/>
                <w:sz w:val="18"/>
              </w:rPr>
              <w:t>FORMAL DEFINITION</w:t>
            </w:r>
          </w:p>
          <w:p>
            <w:pPr>
              <w:spacing w:after="0"/>
            </w:pPr>
            <w:r>
              <w:t>UGTS Chess Proof Campaign 2.0 is a finite, content-addressed application profile in which complete classical positions and exact repetition context define legal actions; special rights and king safety certify events; immutable transitions update state; claimable draws remain player actions; automatic terminals seed four-valued WDL obligations; certificates record existential witnesses or complete universal coverage; an independent checker promotes results into a hash-chained campaign ledger; exact KQK/KRK tables close bounded partitions; and C++20/CUDA adapters accelerate proposals and fixed-point work without becoming final proof authority.</w:t>
            </w:r>
          </w:p>
        </w:tc>
      </w:tr>
    </w:tbl>
    <w:p>
      <w:pPr>
        <w:pStyle w:val="Heading2"/>
      </w:pPr>
      <w:r>
        <w:t>28.1 Canonical object</w:t>
      </w:r>
    </w:p>
    <w:tbl>
      <w:tblPr>
        <w:tblW w:type="auto" w:w="0"/>
        <w:jc w:val="center"/>
        <w:tblLayout w:type="fixed"/>
        <w:tblLook w:firstColumn="1" w:firstRow="1" w:lastColumn="0" w:lastRow="0" w:noHBand="0" w:noVBand="1" w:val="04A0"/>
      </w:tblPr>
      <w:tblGrid>
        <w:gridCol w:w="9978"/>
      </w:tblGrid>
      <w:tr>
        <w:trPr>
          <w:cantSplit/>
          <w:tblHeader/>
        </w:trPr>
        <w:tc>
          <w:tcPr>
            <w:tcW w:type="dxa" w:w="9720"/>
            <w:shd w:fill="111C35"/>
            <w:tcBorders>
              <w:top w:val="single" w:sz="6" w:color="111C35"/>
              <w:left w:val="single" w:sz="6" w:color="111C35"/>
              <w:bottom w:val="single" w:sz="6" w:color="111C35"/>
              <w:right w:val="single" w:sz="6" w:color="111C35"/>
            </w:tcBorders>
            <w:tcMar>
              <w:top w:w="90" w:type="dxa"/>
              <w:start w:w="120" w:type="dxa"/>
              <w:bottom w:w="90" w:type="dxa"/>
              <w:end w:w="120" w:type="dxa"/>
            </w:tcMar>
          </w:tcPr>
          <w:p>
            <w:pPr>
              <w:spacing w:after="0"/>
            </w:pPr>
            <w:r>
              <w:rPr>
                <w:rFonts w:ascii="Liberation Mono" w:hAnsi="Liberation Mono"/>
                <w:color w:val="EAF2FF"/>
                <w:sz w:val="15"/>
              </w:rPr>
              <w:t>UGTS-CHESS-2 = (Q, A, M, G, T, H, V, C, P, L, X)</w:t>
              <w:br/>
              <w:t>Q complete typed state         A attack/support relations</w:t>
              <w:br/>
              <w:t>M deterministic legal moves   G terminal and draw guards</w:t>
              <w:br/>
              <w:t>T immutable transitions       H exact history context</w:t>
              <w:br/>
              <w:t>V WIN|LOSS|DRAW|UNKNOWN       C certificates/checkers</w:t>
              <w:br/>
              <w:t>P campaign partitions         L replay/proof lineage</w:t>
              <w:br/>
              <w:t>X optional CPU/CUDA adapters</w:t>
            </w:r>
          </w:p>
        </w:tc>
      </w:tr>
    </w:tbl>
    <w:p>
      <w:pPr>
        <w:pStyle w:val="Heading2"/>
      </w:pPr>
      <w:r>
        <w:t>28.2 Current root theorem</w:t>
      </w:r>
    </w:p>
    <w:tbl>
      <w:tblPr>
        <w:tblW w:type="auto" w:w="0"/>
        <w:jc w:val="center"/>
        <w:tblLayout w:type="fixed"/>
        <w:tblLook w:firstColumn="1" w:firstRow="1" w:lastColumn="0" w:lastRow="0" w:noHBand="0" w:noVBand="1" w:val="04A0"/>
      </w:tblPr>
      <w:tblGrid>
        <w:gridCol w:w="9978"/>
      </w:tblGrid>
      <w:tr>
        <w:trPr>
          <w:cantSplit/>
          <w:tblHeader/>
        </w:trPr>
        <w:tc>
          <w:tcPr>
            <w:tcW w:type="dxa" w:w="9720"/>
            <w:shd w:fill="111C35"/>
            <w:tcBorders>
              <w:top w:val="single" w:sz="6" w:color="111C35"/>
              <w:left w:val="single" w:sz="6" w:color="111C35"/>
              <w:bottom w:val="single" w:sz="6" w:color="111C35"/>
              <w:right w:val="single" w:sz="6" w:color="111C35"/>
            </w:tcBorders>
            <w:tcMar>
              <w:top w:w="90" w:type="dxa"/>
              <w:start w:w="120" w:type="dxa"/>
              <w:bottom w:w="90" w:type="dxa"/>
              <w:end w:w="120" w:type="dxa"/>
            </w:tcMar>
          </w:tcPr>
          <w:p>
            <w:pPr>
              <w:spacing w:after="0"/>
            </w:pPr>
            <w:r>
              <w:rPr>
                <w:rFonts w:ascii="Liberation Mono" w:hAnsi="Liberation Mono"/>
                <w:color w:val="EAF2FF"/>
                <w:sz w:val="15"/>
              </w:rPr>
              <w:t>initial_position_value = UNKNOWN</w:t>
              <w:br/>
              <w:t>reason = 20 exact root obligations exist; 0 child WDL certificates have been independently promoted</w:t>
            </w:r>
          </w:p>
        </w:tc>
      </w:tr>
    </w:tbl>
    <w:tbl>
      <w:tblPr>
        <w:tblW w:type="auto" w:w="0"/>
        <w:jc w:val="center"/>
        <w:tblLayout w:type="fixed"/>
        <w:tblLook w:firstColumn="1" w:firstRow="1" w:lastColumn="0" w:lastRow="0" w:noHBand="0" w:noVBand="1" w:val="04A0"/>
      </w:tblPr>
      <w:tblGrid>
        <w:gridCol w:w="9978"/>
      </w:tblGrid>
      <w:tr>
        <w:trPr>
          <w:cantSplit/>
          <w:tblHeader/>
        </w:trPr>
        <w:tc>
          <w:tcPr>
            <w:tcW w:type="dxa" w:w="9720"/>
            <w:shd w:fill="EEF4FF"/>
            <w:tcBorders>
              <w:top w:val="single" w:sz="10" w:color="4568DC"/>
              <w:left w:val="single" w:sz="18" w:color="4568DC"/>
              <w:bottom w:val="single" w:sz="10" w:color="4568DC"/>
              <w:right w:val="single" w:sz="10" w:color="4568DC"/>
            </w:tcBorders>
            <w:tcMar>
              <w:top w:w="90" w:type="dxa"/>
              <w:start w:w="125" w:type="dxa"/>
              <w:bottom w:w="90" w:type="dxa"/>
              <w:end w:w="125" w:type="dxa"/>
            </w:tcMar>
          </w:tcPr>
          <w:p>
            <w:pPr>
              <w:spacing w:after="40"/>
            </w:pPr>
            <w:r>
              <w:rPr>
                <w:b/>
                <w:color w:val="4568DC"/>
                <w:sz w:val="18"/>
              </w:rPr>
              <w:t>RELEASE INTERPRETATION</w:t>
            </w:r>
          </w:p>
          <w:p>
            <w:pPr>
              <w:spacing w:after="0"/>
            </w:pPr>
            <w:r>
              <w:t>The package materially advances an attempt by making the open proof explicit, partitioned, portable and executable. It does not overstate that progress as a game-theoretic solution.</w:t>
            </w:r>
          </w:p>
        </w:tc>
      </w:tr>
    </w:tbl>
    <w:p>
      <w:r>
        <w:br w:type="page"/>
      </w:r>
    </w:p>
    <w:p>
      <w:pPr>
        <w:pStyle w:val="Heading1"/>
      </w:pPr>
      <w:r>
        <w:t>Appendix. Source Register, External References and Attribution</w:t>
      </w:r>
    </w:p>
    <w:p>
      <w:pPr>
        <w:pStyle w:val="SectionLead"/>
      </w:pPr>
      <w:r>
        <w:t>Supplied artifacts and current standards are separated from engineering additions and captured package evidence.</w:t>
      </w:r>
    </w:p>
    <w:tbl>
      <w:tblPr>
        <w:tblW w:type="auto" w:w="0"/>
        <w:jc w:val="center"/>
        <w:tblLayout w:type="fixed"/>
        <w:tblLook w:firstColumn="1" w:firstRow="1" w:lastColumn="0" w:lastRow="0" w:noHBand="0" w:noVBand="1" w:val="04A0"/>
      </w:tblPr>
      <w:tblGrid>
        <w:gridCol w:w="1996"/>
        <w:gridCol w:w="1996"/>
        <w:gridCol w:w="1996"/>
        <w:gridCol w:w="1996"/>
        <w:gridCol w:w="1996"/>
      </w:tblGrid>
      <w:tr>
        <w:trPr>
          <w:tblHeader w:val="true"/>
          <w:cantSplit/>
        </w:trPr>
        <w:tc>
          <w:tcPr>
            <w:tcW w:type="dxa" w:w="504"/>
            <w:shd w:fill="0B1736"/>
            <w:tcMar>
              <w:top w:w="55" w:type="dxa"/>
              <w:start w:w="65" w:type="dxa"/>
              <w:bottom w:w="55" w:type="dxa"/>
              <w:end w:w="65" w:type="dxa"/>
            </w:tcMar>
          </w:tcPr>
          <w:p>
            <w:r>
              <w:rPr>
                <w:b/>
                <w:color w:val="FFFFFF"/>
                <w:sz w:val="11"/>
              </w:rPr>
              <w:t>ID</w:t>
            </w:r>
          </w:p>
        </w:tc>
        <w:tc>
          <w:tcPr>
            <w:tcW w:type="dxa" w:w="1944"/>
            <w:shd w:fill="0B1736"/>
            <w:tcMar>
              <w:top w:w="55" w:type="dxa"/>
              <w:start w:w="65" w:type="dxa"/>
              <w:bottom w:w="55" w:type="dxa"/>
              <w:end w:w="65" w:type="dxa"/>
            </w:tcMar>
          </w:tcPr>
          <w:p>
            <w:r>
              <w:rPr>
                <w:b/>
                <w:color w:val="FFFFFF"/>
                <w:sz w:val="11"/>
              </w:rPr>
              <w:t>Supplied source</w:t>
            </w:r>
          </w:p>
        </w:tc>
        <w:tc>
          <w:tcPr>
            <w:tcW w:type="dxa" w:w="1224"/>
            <w:shd w:fill="0B1736"/>
            <w:tcMar>
              <w:top w:w="55" w:type="dxa"/>
              <w:start w:w="65" w:type="dxa"/>
              <w:bottom w:w="55" w:type="dxa"/>
              <w:end w:w="65" w:type="dxa"/>
            </w:tcMar>
          </w:tcPr>
          <w:p>
            <w:r>
              <w:rPr>
                <w:b/>
                <w:color w:val="FFFFFF"/>
                <w:sz w:val="11"/>
              </w:rPr>
              <w:t>Page basis</w:t>
            </w:r>
          </w:p>
        </w:tc>
        <w:tc>
          <w:tcPr>
            <w:tcW w:type="dxa" w:w="1656"/>
            <w:shd w:fill="0B1736"/>
            <w:tcMar>
              <w:top w:w="55" w:type="dxa"/>
              <w:start w:w="65" w:type="dxa"/>
              <w:bottom w:w="55" w:type="dxa"/>
              <w:end w:w="65" w:type="dxa"/>
            </w:tcMar>
          </w:tcPr>
          <w:p>
            <w:r>
              <w:rPr>
                <w:b/>
                <w:color w:val="FFFFFF"/>
                <w:sz w:val="11"/>
              </w:rPr>
              <w:t>SHA-256</w:t>
            </w:r>
          </w:p>
        </w:tc>
        <w:tc>
          <w:tcPr>
            <w:tcW w:type="dxa" w:w="4176"/>
            <w:shd w:fill="0B1736"/>
            <w:tcMar>
              <w:top w:w="55" w:type="dxa"/>
              <w:start w:w="65" w:type="dxa"/>
              <w:bottom w:w="55" w:type="dxa"/>
              <w:end w:w="65" w:type="dxa"/>
            </w:tcMar>
          </w:tcPr>
          <w:p>
            <w:r>
              <w:rPr>
                <w:b/>
                <w:color w:val="FFFFFF"/>
                <w:sz w:val="11"/>
              </w:rPr>
              <w:t>Use</w:t>
            </w:r>
          </w:p>
        </w:tc>
      </w:tr>
      <w:tr>
        <w:trPr>
          <w:cantSplit/>
        </w:trPr>
        <w:tc>
          <w:tcPr>
            <w:tcW w:type="dxa" w:w="50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1"/>
              </w:rPr>
              <w:t>S1</w:t>
            </w:r>
          </w:p>
        </w:tc>
        <w:tc>
          <w:tcPr>
            <w:tcW w:type="dxa" w:w="194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UGTS-GN 1.1</w:t>
            </w:r>
          </w:p>
        </w:tc>
        <w:tc>
          <w:tcPr>
            <w:tcW w:type="dxa" w:w="122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pp. 2-5, 9-15</w:t>
            </w:r>
          </w:p>
        </w:tc>
        <w:tc>
          <w:tcPr>
            <w:tcW w:type="dxa" w:w="165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3a6b6c57118ca4e2...</w:t>
            </w:r>
          </w:p>
        </w:tc>
        <w:tc>
          <w:tcPr>
            <w:tcW w:type="dxa" w:w="417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Canonical support, compatibility, guard, event, transition, lineage; precision and compression boundaries</w:t>
            </w:r>
          </w:p>
        </w:tc>
      </w:tr>
      <w:tr>
        <w:trPr>
          <w:cantSplit/>
        </w:trPr>
        <w:tc>
          <w:tcPr>
            <w:tcW w:type="dxa" w:w="50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1"/>
              </w:rPr>
              <w:t>S2</w:t>
            </w:r>
          </w:p>
        </w:tc>
        <w:tc>
          <w:tcPr>
            <w:tcW w:type="dxa" w:w="194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UGTS-KC 2.0</w:t>
            </w:r>
          </w:p>
        </w:tc>
        <w:tc>
          <w:tcPr>
            <w:tcW w:type="dxa" w:w="122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pp. 3-5, 8-15</w:t>
            </w:r>
          </w:p>
        </w:tc>
        <w:tc>
          <w:tcPr>
            <w:tcW w:type="dxa" w:w="165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a29dd9959ebd300c...</w:t>
            </w:r>
          </w:p>
        </w:tc>
        <w:tc>
          <w:tcPr>
            <w:tcW w:type="dxa" w:w="417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Typed state, query-first patterns, topology, hybrid events, bounded dynamics</w:t>
            </w:r>
          </w:p>
        </w:tc>
      </w:tr>
      <w:tr>
        <w:trPr>
          <w:cantSplit/>
        </w:trPr>
        <w:tc>
          <w:tcPr>
            <w:tcW w:type="dxa" w:w="50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1"/>
              </w:rPr>
              <w:t>S3</w:t>
            </w:r>
          </w:p>
        </w:tc>
        <w:tc>
          <w:tcPr>
            <w:tcW w:type="dxa" w:w="194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KC Two Hands 3.0</w:t>
            </w:r>
          </w:p>
        </w:tc>
        <w:tc>
          <w:tcPr>
            <w:tcW w:type="dxa" w:w="122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pp. 5-6, 11-16, 19-20</w:t>
            </w:r>
          </w:p>
        </w:tc>
        <w:tc>
          <w:tcPr>
            <w:tcW w:type="dxa" w:w="165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183ffa4e2bf29cfa...</w:t>
            </w:r>
          </w:p>
        </w:tc>
        <w:tc>
          <w:tcPr>
            <w:tcW w:type="dxa" w:w="417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Proposal verification, deterministic commit, state hashes, checkpoints and replay</w:t>
            </w:r>
          </w:p>
        </w:tc>
      </w:tr>
      <w:tr>
        <w:trPr>
          <w:cantSplit/>
        </w:trPr>
        <w:tc>
          <w:tcPr>
            <w:tcW w:type="dxa" w:w="50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1"/>
              </w:rPr>
              <w:t>S4</w:t>
            </w:r>
          </w:p>
        </w:tc>
        <w:tc>
          <w:tcPr>
            <w:tcW w:type="dxa" w:w="194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UGTS-KC 3.6</w:t>
            </w:r>
          </w:p>
        </w:tc>
        <w:tc>
          <w:tcPr>
            <w:tcW w:type="dxa" w:w="122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pp. 3-7, 9-14</w:t>
            </w:r>
          </w:p>
        </w:tc>
        <w:tc>
          <w:tcPr>
            <w:tcW w:type="dxa" w:w="165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e21433cd8378368d...</w:t>
            </w:r>
          </w:p>
        </w:tc>
        <w:tc>
          <w:tcPr>
            <w:tcW w:type="dxa" w:w="417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Definitions as data, content addresses, dependency closure and explicit operation order</w:t>
            </w:r>
          </w:p>
        </w:tc>
      </w:tr>
      <w:tr>
        <w:trPr>
          <w:cantSplit/>
        </w:trPr>
        <w:tc>
          <w:tcPr>
            <w:tcW w:type="dxa" w:w="50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1"/>
              </w:rPr>
              <w:t>S5</w:t>
            </w:r>
          </w:p>
        </w:tc>
        <w:tc>
          <w:tcPr>
            <w:tcW w:type="dxa" w:w="194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UGTS-KC 3.6.2 SCLP</w:t>
            </w:r>
          </w:p>
        </w:tc>
        <w:tc>
          <w:tcPr>
            <w:tcW w:type="dxa" w:w="122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pp. 7-15</w:t>
            </w:r>
          </w:p>
        </w:tc>
        <w:tc>
          <w:tcPr>
            <w:tcW w:type="dxa" w:w="165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6987490a0a7b7ed7...</w:t>
            </w:r>
          </w:p>
        </w:tc>
        <w:tc>
          <w:tcPr>
            <w:tcW w:type="dxa" w:w="417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Finite packed keys, radix tries, bounded branching and storage audits</w:t>
            </w:r>
          </w:p>
        </w:tc>
      </w:tr>
      <w:tr>
        <w:trPr>
          <w:cantSplit/>
        </w:trPr>
        <w:tc>
          <w:tcPr>
            <w:tcW w:type="dxa" w:w="50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1"/>
              </w:rPr>
              <w:t>S6</w:t>
            </w:r>
          </w:p>
        </w:tc>
        <w:tc>
          <w:tcPr>
            <w:tcW w:type="dxa" w:w="194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UGTS-KC 3.9</w:t>
            </w:r>
          </w:p>
        </w:tc>
        <w:tc>
          <w:tcPr>
            <w:tcW w:type="dxa" w:w="122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pp. 3-4, 8-13</w:t>
            </w:r>
          </w:p>
        </w:tc>
        <w:tc>
          <w:tcPr>
            <w:tcW w:type="dxa" w:w="165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d7ee3c91abf60e35...</w:t>
            </w:r>
          </w:p>
        </w:tc>
        <w:tc>
          <w:tcPr>
            <w:tcW w:type="dxa" w:w="417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Deterministic game world, canonical snapshots/hashes, CLI and offline HTML5 delivery</w:t>
            </w:r>
          </w:p>
        </w:tc>
      </w:tr>
      <w:tr>
        <w:trPr>
          <w:cantSplit/>
        </w:trPr>
        <w:tc>
          <w:tcPr>
            <w:tcW w:type="dxa" w:w="50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1"/>
              </w:rPr>
              <w:t>S7</w:t>
            </w:r>
          </w:p>
        </w:tc>
        <w:tc>
          <w:tcPr>
            <w:tcW w:type="dxa" w:w="194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UGTS-KC 3.6.3 SARA</w:t>
            </w:r>
          </w:p>
        </w:tc>
        <w:tc>
          <w:tcPr>
            <w:tcW w:type="dxa" w:w="122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pp. 1-2, 6-12</w:t>
            </w:r>
          </w:p>
        </w:tc>
        <w:tc>
          <w:tcPr>
            <w:tcW w:type="dxa" w:w="165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c5a8256e345047d5...</w:t>
            </w:r>
          </w:p>
        </w:tc>
        <w:tc>
          <w:tcPr>
            <w:tcW w:type="dxa" w:w="417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Reviewed but excluded as wallet/security-specific; only its explicit authorization boundary is retained as a governance analogy</w:t>
            </w:r>
          </w:p>
        </w:tc>
      </w:tr>
      <w:tr>
        <w:trPr>
          <w:cantSplit/>
        </w:trPr>
        <w:tc>
          <w:tcPr>
            <w:tcW w:type="dxa" w:w="50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1"/>
              </w:rPr>
              <w:t>S8</w:t>
            </w:r>
          </w:p>
        </w:tc>
        <w:tc>
          <w:tcPr>
            <w:tcW w:type="dxa" w:w="194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UGTS-KC 4.2 Go Solver</w:t>
            </w:r>
          </w:p>
        </w:tc>
        <w:tc>
          <w:tcPr>
            <w:tcW w:type="dxa" w:w="122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pp. 1-13 and appendices</w:t>
            </w:r>
          </w:p>
        </w:tc>
        <w:tc>
          <w:tcPr>
            <w:tcW w:type="dxa" w:w="165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1ea7d15b0112a870...</w:t>
            </w:r>
          </w:p>
        </w:tc>
        <w:tc>
          <w:tcPr>
            <w:tcW w:type="dxa" w:w="417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Board-game precedent for rules/position/game-solved separation, exact finite WDL certificates and explicit UNKNOWN boundaries</w:t>
            </w:r>
          </w:p>
        </w:tc>
      </w:tr>
      <w:tr>
        <w:trPr>
          <w:cantSplit/>
        </w:trPr>
        <w:tc>
          <w:tcPr>
            <w:tcW w:type="dxa" w:w="50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1"/>
              </w:rPr>
              <w:t>S9</w:t>
            </w:r>
          </w:p>
        </w:tc>
        <w:tc>
          <w:tcPr>
            <w:tcW w:type="dxa" w:w="194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UGTS-KC Chess 1.0</w:t>
            </w:r>
          </w:p>
        </w:tc>
        <w:tc>
          <w:tcPr>
            <w:tcW w:type="dxa" w:w="122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pp. 2-21</w:t>
            </w:r>
          </w:p>
        </w:tc>
        <w:tc>
          <w:tcPr>
            <w:tcW w:type="dxa" w:w="165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f8bce74ffefeedb4...</w:t>
            </w:r>
          </w:p>
        </w:tc>
        <w:tc>
          <w:tcPr>
            <w:tcW w:type="dxa" w:w="417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Immediate exact rule, bounded mate, KQK/KRK and proof-viewer baseline</w:t>
            </w:r>
          </w:p>
        </w:tc>
      </w:tr>
      <w:tr>
        <w:trPr>
          <w:cantSplit/>
        </w:trPr>
        <w:tc>
          <w:tcPr>
            <w:tcW w:type="dxa" w:w="50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1"/>
              </w:rPr>
              <w:t>S10</w:t>
            </w:r>
          </w:p>
        </w:tc>
        <w:tc>
          <w:tcPr>
            <w:tcW w:type="dxa" w:w="194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UGTS-KC 4.2 General Operator and Order Addendum</w:t>
            </w:r>
          </w:p>
        </w:tc>
        <w:tc>
          <w:tcPr>
            <w:tcW w:type="dxa" w:w="122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pp. 2-17 and appendices</w:t>
            </w:r>
          </w:p>
        </w:tc>
        <w:tc>
          <w:tcPr>
            <w:tcW w:type="dxa" w:w="165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413ef9568330e253...</w:t>
            </w:r>
          </w:p>
        </w:tc>
        <w:tc>
          <w:tcPr>
            <w:tcW w:type="dxa" w:w="417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Explicit parse/dependency/evaluation/certification/event/replay order and fixed-point operator contracts</w:t>
            </w:r>
          </w:p>
        </w:tc>
      </w:tr>
      <w:tr>
        <w:trPr>
          <w:cantSplit/>
        </w:trPr>
        <w:tc>
          <w:tcPr>
            <w:tcW w:type="dxa" w:w="50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1"/>
              </w:rPr>
              <w:t>S11</w:t>
            </w:r>
          </w:p>
        </w:tc>
        <w:tc>
          <w:tcPr>
            <w:tcW w:type="dxa" w:w="194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UGTS Versioning Governance Phase 1</w:t>
            </w:r>
          </w:p>
        </w:tc>
        <w:tc>
          <w:tcPr>
            <w:tcW w:type="dxa" w:w="122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pp. 1-8</w:t>
            </w:r>
          </w:p>
        </w:tc>
        <w:tc>
          <w:tcPr>
            <w:tcW w:type="dxa" w:w="165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1b64495ed32a24a6...</w:t>
            </w:r>
          </w:p>
        </w:tc>
        <w:tc>
          <w:tcPr>
            <w:tcW w:type="dxa" w:w="417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Component-scoped release identity and explicit relationship graph</w:t>
            </w:r>
          </w:p>
        </w:tc>
      </w:tr>
    </w:tbl>
    <w:p>
      <w:pPr>
        <w:pStyle w:val="Heading2"/>
      </w:pPr>
      <w:r>
        <w:t>External standards and current device references</w:t>
      </w:r>
    </w:p>
    <w:tbl>
      <w:tblPr>
        <w:tblW w:type="auto" w:w="0"/>
        <w:jc w:val="center"/>
        <w:tblLayout w:type="fixed"/>
        <w:tblLook w:firstColumn="1" w:firstRow="1" w:lastColumn="0" w:lastRow="0" w:noHBand="0" w:noVBand="1" w:val="04A0"/>
      </w:tblPr>
      <w:tblGrid>
        <w:gridCol w:w="1996"/>
        <w:gridCol w:w="1996"/>
        <w:gridCol w:w="1996"/>
        <w:gridCol w:w="1996"/>
        <w:gridCol w:w="1996"/>
      </w:tblGrid>
      <w:tr>
        <w:trPr>
          <w:tblHeader w:val="true"/>
          <w:cantSplit/>
        </w:trPr>
        <w:tc>
          <w:tcPr>
            <w:tcW w:type="dxa" w:w="504"/>
            <w:shd w:fill="0B1736"/>
            <w:tcMar>
              <w:top w:w="55" w:type="dxa"/>
              <w:start w:w="65" w:type="dxa"/>
              <w:bottom w:w="55" w:type="dxa"/>
              <w:end w:w="65" w:type="dxa"/>
            </w:tcMar>
          </w:tcPr>
          <w:p>
            <w:r>
              <w:rPr>
                <w:b/>
                <w:color w:val="FFFFFF"/>
                <w:sz w:val="11"/>
              </w:rPr>
              <w:t>ID</w:t>
            </w:r>
          </w:p>
        </w:tc>
        <w:tc>
          <w:tcPr>
            <w:tcW w:type="dxa" w:w="1944"/>
            <w:shd w:fill="0B1736"/>
            <w:tcMar>
              <w:top w:w="55" w:type="dxa"/>
              <w:start w:w="65" w:type="dxa"/>
              <w:bottom w:w="55" w:type="dxa"/>
              <w:end w:w="65" w:type="dxa"/>
            </w:tcMar>
          </w:tcPr>
          <w:p>
            <w:r>
              <w:rPr>
                <w:b/>
                <w:color w:val="FFFFFF"/>
                <w:sz w:val="11"/>
              </w:rPr>
              <w:t>Reference</w:t>
            </w:r>
          </w:p>
        </w:tc>
        <w:tc>
          <w:tcPr>
            <w:tcW w:type="dxa" w:w="1440"/>
            <w:shd w:fill="0B1736"/>
            <w:tcMar>
              <w:top w:w="55" w:type="dxa"/>
              <w:start w:w="65" w:type="dxa"/>
              <w:bottom w:w="55" w:type="dxa"/>
              <w:end w:w="65" w:type="dxa"/>
            </w:tcMar>
          </w:tcPr>
          <w:p>
            <w:r>
              <w:rPr>
                <w:b/>
                <w:color w:val="FFFFFF"/>
                <w:sz w:val="11"/>
              </w:rPr>
              <w:t>Edition</w:t>
            </w:r>
          </w:p>
        </w:tc>
        <w:tc>
          <w:tcPr>
            <w:tcW w:type="dxa" w:w="3240"/>
            <w:shd w:fill="0B1736"/>
            <w:tcMar>
              <w:top w:w="55" w:type="dxa"/>
              <w:start w:w="65" w:type="dxa"/>
              <w:bottom w:w="55" w:type="dxa"/>
              <w:end w:w="65" w:type="dxa"/>
            </w:tcMar>
          </w:tcPr>
          <w:p>
            <w:r>
              <w:rPr>
                <w:b/>
                <w:color w:val="FFFFFF"/>
                <w:sz w:val="11"/>
              </w:rPr>
              <w:t>Use</w:t>
            </w:r>
          </w:p>
        </w:tc>
        <w:tc>
          <w:tcPr>
            <w:tcW w:type="dxa" w:w="2376"/>
            <w:shd w:fill="0B1736"/>
            <w:tcMar>
              <w:top w:w="55" w:type="dxa"/>
              <w:start w:w="65" w:type="dxa"/>
              <w:bottom w:w="55" w:type="dxa"/>
              <w:end w:w="65" w:type="dxa"/>
            </w:tcMar>
          </w:tcPr>
          <w:p>
            <w:r>
              <w:rPr>
                <w:b/>
                <w:color w:val="FFFFFF"/>
                <w:sz w:val="11"/>
              </w:rPr>
              <w:t>Location</w:t>
            </w:r>
          </w:p>
        </w:tc>
      </w:tr>
      <w:tr>
        <w:trPr>
          <w:cantSplit/>
        </w:trPr>
        <w:tc>
          <w:tcPr>
            <w:tcW w:type="dxa" w:w="50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1"/>
              </w:rPr>
              <w:t>E1</w:t>
            </w:r>
          </w:p>
        </w:tc>
        <w:tc>
          <w:tcPr>
            <w:tcW w:type="dxa" w:w="194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FIDE Laws of Chess</w:t>
            </w:r>
          </w:p>
        </w:tc>
        <w:tc>
          <w:tcPr>
            <w:tcW w:type="dxa" w:w="144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taking effect from 1 January 2023</w:t>
            </w:r>
          </w:p>
        </w:tc>
        <w:tc>
          <w:tcPr>
            <w:tcW w:type="dxa" w:w="324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Classical move, terminal, repetition and move-count semantics</w:t>
            </w:r>
          </w:p>
        </w:tc>
        <w:tc>
          <w:tcPr>
            <w:tcW w:type="dxa" w:w="237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https://handbook.fide.com/chapter/E012023</w:t>
            </w:r>
          </w:p>
        </w:tc>
      </w:tr>
      <w:tr>
        <w:trPr>
          <w:cantSplit/>
        </w:trPr>
        <w:tc>
          <w:tcPr>
            <w:tcW w:type="dxa" w:w="50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1"/>
              </w:rPr>
              <w:t>E2</w:t>
            </w:r>
          </w:p>
        </w:tc>
        <w:tc>
          <w:tcPr>
            <w:tcW w:type="dxa" w:w="194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NVIDIA GeForce RTX 50 Series Laptop specifications</w:t>
            </w:r>
          </w:p>
        </w:tc>
        <w:tc>
          <w:tcPr>
            <w:tcW w:type="dxa" w:w="144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current online source</w:t>
            </w:r>
          </w:p>
        </w:tc>
        <w:tc>
          <w:tcPr>
            <w:tcW w:type="dxa" w:w="324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RTX 5070 Ti Laptop core count, memory and Blackwell device family</w:t>
            </w:r>
          </w:p>
        </w:tc>
        <w:tc>
          <w:tcPr>
            <w:tcW w:type="dxa" w:w="237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https://www.nvidia.com/en-us/geforce/laptops/50-series/</w:t>
            </w:r>
          </w:p>
        </w:tc>
      </w:tr>
      <w:tr>
        <w:trPr>
          <w:cantSplit/>
        </w:trPr>
        <w:tc>
          <w:tcPr>
            <w:tcW w:type="dxa" w:w="50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1"/>
              </w:rPr>
              <w:t>E3</w:t>
            </w:r>
          </w:p>
        </w:tc>
        <w:tc>
          <w:tcPr>
            <w:tcW w:type="dxa" w:w="194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NVIDIA CUDA GPU Compute Capability</w:t>
            </w:r>
          </w:p>
        </w:tc>
        <w:tc>
          <w:tcPr>
            <w:tcW w:type="dxa" w:w="144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current online source</w:t>
            </w:r>
          </w:p>
        </w:tc>
        <w:tc>
          <w:tcPr>
            <w:tcW w:type="dxa" w:w="324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Runtime/compile architecture reference; GeForce RTX 5070 Ti listed under compute capability 12.0</w:t>
            </w:r>
          </w:p>
        </w:tc>
        <w:tc>
          <w:tcPr>
            <w:tcW w:type="dxa" w:w="237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https://developer.nvidia.com/cuda/gpus</w:t>
            </w:r>
          </w:p>
        </w:tc>
      </w:tr>
      <w:tr>
        <w:trPr>
          <w:cantSplit/>
        </w:trPr>
        <w:tc>
          <w:tcPr>
            <w:tcW w:type="dxa" w:w="50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1"/>
              </w:rPr>
              <w:t>E4</w:t>
            </w:r>
          </w:p>
        </w:tc>
        <w:tc>
          <w:tcPr>
            <w:tcW w:type="dxa" w:w="1944"/>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CUDA Toolkit Release Notes</w:t>
            </w:r>
          </w:p>
        </w:tc>
        <w:tc>
          <w:tcPr>
            <w:tcW w:type="dxa" w:w="144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current 13.x compatibility table consulted 29 August 2026</w:t>
            </w:r>
          </w:p>
        </w:tc>
        <w:tc>
          <w:tcPr>
            <w:tcW w:type="dxa" w:w="3240"/>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Toolkit/driver compatibility and Windows driver-separation boundary</w:t>
            </w:r>
          </w:p>
        </w:tc>
        <w:tc>
          <w:tcPr>
            <w:tcW w:type="dxa" w:w="2376"/>
            <w:shd w:fill="F5F8FC"/>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https://docs.nvidia.com/cuda/cuda-toolkit-release-notes/</w:t>
            </w:r>
          </w:p>
        </w:tc>
      </w:tr>
      <w:tr>
        <w:trPr>
          <w:cantSplit/>
        </w:trPr>
        <w:tc>
          <w:tcPr>
            <w:tcW w:type="dxa" w:w="50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b/>
                <w:color w:val="14213D"/>
                <w:sz w:val="11"/>
              </w:rPr>
              <w:t>E5</w:t>
            </w:r>
          </w:p>
        </w:tc>
        <w:tc>
          <w:tcPr>
            <w:tcW w:type="dxa" w:w="1944"/>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Syzygy tablebases</w:t>
            </w:r>
          </w:p>
        </w:tc>
        <w:tc>
          <w:tcPr>
            <w:tcW w:type="dxa" w:w="144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current online source</w:t>
            </w:r>
          </w:p>
        </w:tc>
        <w:tc>
          <w:tcPr>
            <w:tcW w:type="dxa" w:w="3240"/>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External exact endgame adapter context; files not bundled</w:t>
            </w:r>
          </w:p>
        </w:tc>
        <w:tc>
          <w:tcPr>
            <w:tcW w:type="dxa" w:w="2376"/>
            <w:shd w:fill="FFFFFF"/>
            <w:tcMar>
              <w:top w:w="50" w:type="dxa"/>
              <w:start w:w="65" w:type="dxa"/>
              <w:bottom w:w="50" w:type="dxa"/>
              <w:end w:w="65" w:type="dxa"/>
            </w:tcMar>
            <w:vAlign w:val="center"/>
            <w:tcBorders>
              <w:top w:val="single" w:sz="4" w:color="D9E2EF"/>
              <w:left w:val="single" w:sz="4" w:color="D9E2EF"/>
              <w:bottom w:val="single" w:sz="4" w:color="D9E2EF"/>
              <w:right w:val="single" w:sz="4" w:color="D9E2EF"/>
            </w:tcBorders>
          </w:tcPr>
          <w:p>
            <w:pPr>
              <w:spacing w:after="0"/>
            </w:pPr>
            <w:r>
              <w:rPr>
                <w:color w:val="14213D"/>
                <w:sz w:val="11"/>
              </w:rPr>
              <w:t>https://syzygy-tables.info/</w:t>
            </w:r>
          </w:p>
        </w:tc>
      </w:tr>
    </w:tbl>
    <w:p>
      <w:pPr>
        <w:pStyle w:val="Heading2"/>
      </w:pPr>
      <w:r>
        <w:t>Attribution and legal boundary</w:t>
      </w:r>
    </w:p>
    <w:p>
      <w:r>
        <w:rPr>
          <w:b/>
        </w:rPr>
        <w:t xml:space="preserve">Prepared for Tom Klootwijk. </w:t>
      </w:r>
      <w:r>
        <w:t>The requester attribution is recorded as supplied and has not been independently verified. This report and package are technical design and validation artifacts. They are not legal proof of identity, authorship, ownership, priority, patentability, exclusive rights, licensing status or scientific consensus.</w:t>
      </w:r>
    </w:p>
    <w:tbl>
      <w:tblPr>
        <w:tblW w:type="auto" w:w="0"/>
        <w:jc w:val="center"/>
        <w:tblLayout w:type="fixed"/>
        <w:tblLook w:firstColumn="1" w:firstRow="1" w:lastColumn="0" w:lastRow="0" w:noHBand="0" w:noVBand="1" w:val="04A0"/>
      </w:tblPr>
      <w:tblGrid>
        <w:gridCol w:w="9978"/>
      </w:tblGrid>
      <w:tr>
        <w:trPr>
          <w:cantSplit/>
          <w:tblHeader/>
        </w:trPr>
        <w:tc>
          <w:tcPr>
            <w:tcW w:type="dxa" w:w="9720"/>
            <w:shd w:fill="F4F0FF"/>
            <w:tcBorders>
              <w:top w:val="single" w:sz="10" w:color="7357C5"/>
              <w:left w:val="single" w:sz="18" w:color="7357C5"/>
              <w:bottom w:val="single" w:sz="10" w:color="7357C5"/>
              <w:right w:val="single" w:sz="10" w:color="7357C5"/>
            </w:tcBorders>
            <w:tcMar>
              <w:top w:w="90" w:type="dxa"/>
              <w:start w:w="125" w:type="dxa"/>
              <w:bottom w:w="90" w:type="dxa"/>
              <w:end w:w="125" w:type="dxa"/>
            </w:tcMar>
          </w:tcPr>
          <w:p>
            <w:pPr>
              <w:spacing w:after="40"/>
            </w:pPr>
            <w:r>
              <w:rPr>
                <w:b/>
                <w:color w:val="7357C5"/>
                <w:sz w:val="18"/>
              </w:rPr>
              <w:t>CLOSING STATEMENT</w:t>
            </w:r>
          </w:p>
          <w:p>
            <w:pPr>
              <w:spacing w:after="0"/>
            </w:pPr>
            <w:r>
              <w:t>The strongest evidence in this release is exact and local: legal transitions, bounded certificates, finite tablebases, campaign hashes and passing reproducibility gates. The global classical root remains UNKNOWN until the missing proof obligations are actually closed.</w:t>
            </w:r>
          </w:p>
        </w:tc>
      </w:tr>
    </w:tbl>
    <w:sectPr w:rsidR="00FC693F" w:rsidRPr="0006063C" w:rsidSect="00034616">
      <w:headerReference w:type="default" r:id="rId9"/>
      <w:footerReference w:type="default" r:id="rId10"/>
      <w:pgSz w:w="11906" w:h="16838"/>
      <w:pgMar w:top="794" w:right="964" w:bottom="794" w:left="964" w:header="340" w:footer="34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758B"/>
        <w:sz w:val="15"/>
      </w:rPr>
      <w:t xml:space="preserve">Prepared for Tom Klootwijk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Bdr>
        <w:bottom w:val="single" w:sz="6" w:space="1" w:color="D9E2EF"/>
      </w:pBdr>
    </w:pPr>
    <w:r>
      <w:t>UGTS CHESS PROOF CAMPAIGN 2.0  |  CLASSICAL GAME-THEORETIC ATTEMPT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47" w:lineRule="auto"/>
    </w:pPr>
    <w:rPr>
      <w:rFonts w:ascii="Noto Sans" w:hAnsi="Noto Sans"/>
      <w:color w:val="14213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Noto Sans" w:hAnsi="Noto Sans"/>
      <w:b/>
      <w:bCs/>
      <w:color w:val="0B1736"/>
      <w:sz w:val="39"/>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Noto Sans" w:hAnsi="Noto Sans"/>
      <w:b/>
      <w:bCs/>
      <w:color w:val="2AA876"/>
      <w:sz w:val="26"/>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Noto Sans" w:hAnsi="Noto Sans"/>
      <w:b/>
      <w:bCs/>
      <w:color w:val="4568D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Noto Sans" w:hAnsi="Noto Sans"/>
      <w:b/>
      <w:color w:val="0B1736"/>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Noto Sans" w:hAnsi="Noto Sans"/>
      <w:b/>
      <w:i/>
      <w:iCs/>
      <w:color w:val="4568DC"/>
      <w:spacing w:val="15"/>
      <w:sz w:val="29"/>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pPr>
      <w:spacing w:after="40" w:line="240" w:lineRule="auto"/>
    </w:pPr>
    <w:rPr>
      <w:rFonts w:ascii="Noto Sans" w:hAnsi="Noto Sans"/>
      <w:b/>
      <w:color w:val="65758B"/>
      <w:sz w:val="18"/>
    </w:rPr>
  </w:style>
  <w:style w:type="paragraph" w:customStyle="1" w:styleId="CoverMeta">
    <w:name w:val="Cover Meta"/>
    <w:pPr>
      <w:spacing w:after="40" w:line="240" w:lineRule="auto"/>
    </w:pPr>
    <w:rPr>
      <w:rFonts w:ascii="Noto Sans" w:hAnsi="Noto Sans"/>
      <w:b w:val="0"/>
      <w:color w:val="34465F"/>
      <w:sz w:val="17"/>
    </w:rPr>
  </w:style>
  <w:style w:type="paragraph" w:customStyle="1" w:styleId="SectionLead">
    <w:name w:val="Section Lead"/>
    <w:pPr>
      <w:spacing w:after="40" w:line="240" w:lineRule="auto"/>
    </w:pPr>
    <w:rPr>
      <w:rFonts w:ascii="Noto Sans" w:hAnsi="Noto Sans"/>
      <w:b w:val="0"/>
      <w:i/>
      <w:color w:val="65758B"/>
      <w:sz w:val="20"/>
    </w:rPr>
  </w:style>
  <w:style w:type="paragraph" w:customStyle="1" w:styleId="FigureCaption">
    <w:name w:val="Figure Caption"/>
    <w:pPr>
      <w:spacing w:after="40" w:line="240" w:lineRule="auto"/>
    </w:pPr>
    <w:rPr>
      <w:rFonts w:ascii="Noto Sans" w:hAnsi="Noto Sans"/>
      <w:b w:val="0"/>
      <w:i/>
      <w:color w:val="65758B"/>
      <w:sz w:val="15"/>
    </w:rPr>
  </w:style>
  <w:style w:type="paragraph" w:customStyle="1" w:styleId="TableCaption">
    <w:name w:val="Table Caption"/>
    <w:pPr>
      <w:spacing w:after="40" w:line="240" w:lineRule="auto"/>
    </w:pPr>
    <w:rPr>
      <w:rFonts w:ascii="Noto Sans" w:hAnsi="Noto Sans"/>
      <w:b w:val="0"/>
      <w:i/>
      <w:color w:val="65758B"/>
      <w:sz w:val="15"/>
    </w:rPr>
  </w:style>
  <w:style w:type="paragraph" w:customStyle="1" w:styleId="Bullet">
    <w:name w:val="Bullet"/>
    <w:pPr>
      <w:spacing w:after="40" w:line="240" w:lineRule="auto"/>
    </w:pPr>
    <w:rPr>
      <w:rFonts w:ascii="Noto Sans" w:hAnsi="Noto Sans"/>
      <w:b w:val="0"/>
      <w:color w:val="14213D"/>
      <w:sz w:val="18"/>
    </w:rPr>
  </w:style>
  <w:style w:type="paragraph" w:customStyle="1" w:styleId="SourceNote">
    <w:name w:val="Source Note"/>
    <w:pPr>
      <w:spacing w:after="40" w:line="240" w:lineRule="auto"/>
    </w:pPr>
    <w:rPr>
      <w:rFonts w:ascii="Noto Sans" w:hAnsi="Noto Sans"/>
      <w:b w:val="0"/>
      <w:color w:val="65758B"/>
      <w:sz w:val="15"/>
    </w:rPr>
  </w:style>
  <w:style w:type="paragraph" w:customStyle="1" w:styleId="Small">
    <w:name w:val="Small"/>
    <w:pPr>
      <w:spacing w:after="40" w:line="240" w:lineRule="auto"/>
    </w:pPr>
    <w:rPr>
      <w:rFonts w:ascii="Noto Sans" w:hAnsi="Noto Sans"/>
      <w:b w:val="0"/>
      <w:color w:val="65758B"/>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UGTS Chess Game-Theoretic Solver 2.0 - RTX 5070 Ti Laptop Edition</dc:title>
  <dc:subject>Classical chess proof campaign, exact WDL certificates, disk-backed orchestration and optional CUDA SM120 adapters</dc:subject>
  <dc:creator>OpenAI, prepared for Tom Klootwijk</dc:creator>
  <cp:keywords>UGTS, chess, game theory, proof certificate, WDL, CUDA, RTX 5070 Ti, SM120, tablebase, campaign</cp:keywords>
  <dc:description>The initial classical position remains UNKNOWN. Requester attribution is recorded as supplied and not independently verified.</dc:description>
  <cp:lastModifiedBy/>
  <cp:revision>1</cp:revision>
  <dcterms:created xsi:type="dcterms:W3CDTF">2013-12-23T23:15:00Z</dcterms:created>
  <dcterms:modified xsi:type="dcterms:W3CDTF">2013-12-23T23:15:00Z</dcterms:modified>
  <cp:category/>
</cp:coreProperties>
</file>