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49131"/>
            <wp:docPr id="1" name="Picture 1" descr="Cover for Volume 2 with cards for pattern, path, field, frame, guard band and pack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49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36FAE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DESCRIBE BEFORE YOU CHANGE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Geometry answers queries; the event chain decides authority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DF2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36FAE"/>
                <w:sz w:val="25"/>
              </w:rPr>
              <w:t>BIG IDEA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UGTS can describe shapes, routes, fields and motion without turning a drawing or rendered frame into the authoritative world. Description supports a proposal; the six-question chain still decides change.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1E8585"/>
                <w:sz w:val="23"/>
              </w:rPr>
              <w:t>SHAPE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What points belong to a form, boundary or support?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36FAE"/>
                <w:sz w:val="23"/>
              </w:rPr>
              <w:t>PATH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Where does a parameter place an object, and how does direction change?</w:t>
            </w:r>
          </w:p>
        </w:tc>
      </w:tr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FIELD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What value, sign, gradient or status appears at a query point?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D9367"/>
                <w:sz w:val="23"/>
              </w:rPr>
              <w:t>MOTION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What is the state at a requested time, with a declared model and error contract?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ACCESS ROUTE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Trace, build, listen, point or describe. A reader may use string, blocks, raised lines, sound cues, movement or a screen. The mathematical role remains the same.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6A5AA3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PATTERN, PATH, FIELD OR PICTURE?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Four related things that must not be silently merged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512"/>
            <w:shd w:fill="6A5AA3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THING</w:t>
            </w:r>
          </w:p>
        </w:tc>
        <w:tc>
          <w:tcPr>
            <w:tcW w:type="dxa" w:w="4464"/>
            <w:shd w:fill="6A5AA3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FORMAL ROLE</w:t>
            </w:r>
          </w:p>
        </w:tc>
        <w:tc>
          <w:tcPr>
            <w:tcW w:type="dxa" w:w="3816"/>
            <w:shd w:fill="6A5AA3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EXAMPLE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Pattern</w:t>
            </w:r>
          </w:p>
        </w:tc>
        <w:tc>
          <w:tcPr>
            <w:tcW w:type="dxa" w:w="446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A versioned rule with parameters and a domain.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A rose family, spiral law, spline or superellipse.</w:t>
            </w:r>
          </w:p>
        </w:tc>
      </w:tr>
      <w:tr>
        <w:trPr>
          <w:cantSplit/>
        </w:trPr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Path</w:t>
            </w:r>
          </w:p>
        </w:tc>
        <w:tc>
          <w:tcPr>
            <w:tcW w:type="dxa" w:w="446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A parameterized route through positions and possibly orientations.</w:t>
            </w:r>
          </w:p>
        </w:tc>
        <w:tc>
          <w:tcPr>
            <w:tcW w:type="dxa" w:w="381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A curve used for motion, calibration or a sweep.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Field</w:t>
            </w:r>
          </w:p>
        </w:tc>
        <w:tc>
          <w:tcPr>
            <w:tcW w:type="dxa" w:w="446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A function that returns a value at each query point.</w:t>
            </w:r>
          </w:p>
        </w:tc>
        <w:tc>
          <w:tcPr>
            <w:tcW w:type="dxa" w:w="3816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Inside/outside sign, temperature, confidence or arrival time.</w:t>
            </w:r>
          </w:p>
        </w:tc>
      </w:tr>
      <w:tr>
        <w:trPr>
          <w:cantSplit/>
        </w:trPr>
        <w:tc>
          <w:tcPr>
            <w:tcW w:type="dxa" w:w="151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Picture</w:t>
            </w:r>
          </w:p>
        </w:tc>
        <w:tc>
          <w:tcPr>
            <w:tcW w:type="dxa" w:w="446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A downstream projection for people or displays.</w:t>
            </w:r>
          </w:p>
        </w:tc>
        <w:tc>
          <w:tcPr>
            <w:tcW w:type="dxa" w:w="3816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SVG, Canvas, Bayer pixels, camera preview or report figure.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7D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D3A019"/>
                <w:sz w:val="25"/>
              </w:rPr>
              <w:t>WHY THIS MATTERS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The same curve may be used as a boundary, trajectory, support or calibration sweep. The role must be declared. A picture of the curve is still only a presentation.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Source basis: UGTS-KC 2.0 pattern instance contract and query set; KC Two Hands 3.0 and Bayer Direct keep presentation downstream.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36FAE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PATTERN FAMILIES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One rule, many parameter choices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653790"/>
            <wp:docPr id="2" name="Picture 2" descr="Gallery showing a superellipse, rose curve, Lissajous curve and spiral with short explan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gall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537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PLAY IDEA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Use a bendable wire or string. Change one parameter at a time: corner roundness, petal count, rhythm pair or radial growth. Name what changed and what stayed invariant.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HONEST LIMIT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 famous mathematical name does not prove a material property, biological law, self-assembly effect or product performance. Those require separate models and measurement.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E8585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FIELDS: INSIDE, BOUNDARY AND OUTSIDE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A number or status can live at every query point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31820"/>
            <wp:docPr id="3" name="Picture 3" descr="Diagram of a field with inside f less than zero, boundary f equals zero and outside f greater than zero query poi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z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318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6"/>
              </w:rPr>
              <w:t>GENERIC IMPLICIT FIELD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May support sign, threshold, gradient or guard queries. It is not automatically exact Euclidean distance.</w:t>
            </w:r>
          </w:p>
        </w:tc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1E8585"/>
                <w:sz w:val="26"/>
              </w:rPr>
              <w:t>EXACT SIGNED DISTANCE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Adds a stronger contract: magnitude equals shortest distance under the declared primitive and transform conditions.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7D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D3A019"/>
                <w:sz w:val="25"/>
              </w:rPr>
              <w:t>EVENT RULE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The zero boundary is a candidate. A change still requires support, compatibility, accepted guard status, confidence/error and deterministic commit.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E8585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SUPPORT SHAPES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Ask a small local question before a large exact one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36FAE"/>
                <w:sz w:val="23"/>
              </w:rPr>
              <w:t>BOX / AABB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Fast finite bounds for scene or map candidates. A box is not the final semantic answer.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1E8585"/>
                <w:sz w:val="23"/>
              </w:rPr>
              <w:t>SPHERE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Local radial support or exact sphere relation when center and radius are declared.</w:t>
            </w:r>
          </w:p>
        </w:tc>
      </w:tr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D3A019"/>
                <w:sz w:val="23"/>
              </w:rPr>
              <w:t>CONE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Radial reach plus angular direction. Useful for views, sensors and directional relevance.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SHELL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An ordered radial interval for multiscale relevance or lookup.</w:t>
            </w:r>
          </w:p>
        </w:tc>
      </w:tr>
    </w:tbl>
    <w:p>
      <w:pPr>
        <w:pStyle w:val="Heading2"/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Hybrid candidate path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4F7F8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123047"/>
              <w:start w:val="single" w:sz="8" w:color="123047"/>
              <w:bottom w:val="single" w:sz="8" w:color="123047"/>
              <w:end w:val="single" w:sz="8" w:color="12304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123047"/>
                <w:sz w:val="25"/>
              </w:rPr>
              <w:t>ORDER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2"/>
              </w:rPr>
              <w:t>conventional bounds / index -&gt; local support -&gt; compatibility -&gt; exact pattern, field or trajectory query -&gt; guard classification -&gt; proposal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KILL CRITERION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Use a conventional index instead when the combined support/compatibility system is slower, larger or less accurate at equal error.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Sources: UGTS-GN 1.1 local radial-angular support; UGTS-KC 2.0 support and kill criteria; Two Hands 3.0 AABB/BVH hybrid path.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D936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MOTION: WHERE, HOW FAST, AND HOW THAT CHANGES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Position alone is not a motion model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CHILD ROUTE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A moving object can have a place, a speed, a turning direction and a “change of change.” UGTS stores only the fields needed by the selected motion profile and keeps the model explicit.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4D936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STATE PART</w:t>
            </w:r>
          </w:p>
        </w:tc>
        <w:tc>
          <w:tcPr>
            <w:tcW w:type="dxa" w:w="7344"/>
            <w:shd w:fill="4D936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PLAIN MEANING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position</w:t>
            </w:r>
          </w:p>
        </w:tc>
        <w:tc>
          <w:tcPr>
            <w:tcW w:type="dxa" w:w="73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Where the state is at a time.</w:t>
            </w:r>
          </w:p>
        </w:tc>
      </w:tr>
      <w:tr>
        <w:trPr>
          <w:cantSplit/>
        </w:trPr>
        <w:tc>
          <w:tcPr>
            <w:tcW w:type="dxa" w:w="244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velocity</w:t>
            </w:r>
          </w:p>
        </w:tc>
        <w:tc>
          <w:tcPr>
            <w:tcW w:type="dxa" w:w="734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How position changes.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acceleration</w:t>
            </w:r>
          </w:p>
        </w:tc>
        <w:tc>
          <w:tcPr>
            <w:tcW w:type="dxa" w:w="73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How velocity changes.</w:t>
            </w:r>
          </w:p>
        </w:tc>
      </w:tr>
      <w:tr>
        <w:trPr>
          <w:cantSplit/>
        </w:trPr>
        <w:tc>
          <w:tcPr>
            <w:tcW w:type="dxa" w:w="244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curvature</w:t>
            </w:r>
          </w:p>
        </w:tc>
        <w:tc>
          <w:tcPr>
            <w:tcW w:type="dxa" w:w="734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How strongly a path turns per distance.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torsion</w:t>
            </w:r>
          </w:p>
        </w:tc>
        <w:tc>
          <w:tcPr>
            <w:tcW w:type="dxa" w:w="734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How a three-dimensional path twists out of a plane.</w:t>
            </w:r>
          </w:p>
        </w:tc>
      </w:tr>
      <w:tr>
        <w:trPr>
          <w:cantSplit/>
        </w:trPr>
        <w:tc>
          <w:tcPr>
            <w:tcW w:type="dxa" w:w="244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mode</w:t>
            </w:r>
          </w:p>
        </w:tc>
        <w:tc>
          <w:tcPr>
            <w:tcW w:type="dxa" w:w="734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Which continuous or hybrid rule is active.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FORMAL EXAMPLE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For constant acceleration: x(t) = p0 + v0*dt + 1/2*a*dt^2 and v(t) = v0 + a*dt. A relation f(x)=0 becomes a time guard g(t)=f(x(t)).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BOUNDARY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 coordinate chart may change component formulas. A physical force or torque requires a declared mechanics model; coordinate vocabulary does not create dynamics.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36FAE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MOVING FRAMES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Carry a stable local direction along a route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31820"/>
            <wp:docPr id="4" name="Picture 4" descr="Curved path with tangent arrows in green and normal arrows in coral at several poi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on_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318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36FAE"/>
                <w:sz w:val="26"/>
              </w:rPr>
              <w:t>FRENET FRAME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Uses derivatives and curvature. It can become unstable where speed or curvature approaches zero.</w:t>
            </w:r>
          </w:p>
        </w:tc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1E8585"/>
                <w:sz w:val="26"/>
              </w:rPr>
              <w:t>BISHOP / PARALLEL TRANSPORT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Carries a rotation-minimizing frame from an initial direction. It requires a numerical transport tolerance.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7D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D3A019"/>
                <w:sz w:val="25"/>
              </w:rPr>
              <w:t>WHY THE STATUS MATTERS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 frame query should return both orientation and status. “Undefined,” “low curvature,” or “fallback used” is more truthful than inventing a direction.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6A5AA3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LOOPS, CROSSINGS AND WINDING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The same coordinate can belong to a different trip</w:t>
            </w:r>
          </w:p>
        </w:tc>
      </w:tr>
    </w:tbl>
    <w:p>
      <w:pPr>
        <w:spacing w:after="0"/>
      </w:pPr>
    </w:p>
    <w:p>
      <w:pPr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3"/>
        </w:rPr>
        <w:t>Imagine walking around a circular track three times. You return to the same painted point, but your winding count and route history are different. A projected crossing may also show two route branches that are not actually connected.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36FAE"/>
                <w:sz w:val="23"/>
              </w:rPr>
              <w:t>POSITION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The current coordinate.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1E8585"/>
                <w:sz w:val="23"/>
              </w:rPr>
              <w:t>PHASE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Where you are inside one repeating cycle.</w:t>
            </w:r>
          </w:p>
        </w:tc>
      </w:tr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D3A019"/>
                <w:sz w:val="23"/>
              </w:rPr>
              <w:t>WINDING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How many whole cycles have been completed.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ROUTE CLASS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20"/>
              </w:rPr>
              <w:t>Which obstacle, sheet, braid or portal history distinguishes the path.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COMPATIBILITY RULE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Same position plus different sheet, phase, mode or route class may mean no coupling. A visible self-intersection is not automatically a collision.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Sources: UGTS-KC 2.0 winding, covering and homotopy descriptors; SCLP 3.6.2 phase plus winding and explicit topology profiles.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D3A019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GUARD BANDS AND UNCERTAINTY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Sometimes the truthful answer is “not classified yet”</w:t>
            </w:r>
          </w:p>
        </w:tc>
      </w:tr>
    </w:tbl>
    <w:p>
      <w:pPr>
        <w:spacing w:after="0"/>
      </w:pPr>
    </w:p>
    <w:p>
      <w:pPr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3"/>
        </w:rPr>
        <w:t>Suppose a doorway is measured as 79.8 cm with a 0.5 cm uncertainty, while a rule requires at least 80.0 cm. The interval overlaps the threshold. A careful system should not silently call it open or blocked.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872"/>
            <w:shd w:fill="D3A019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032"/>
            <w:shd w:fill="D3A019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INTERVAL TEST</w:t>
            </w:r>
          </w:p>
        </w:tc>
        <w:tc>
          <w:tcPr>
            <w:tcW w:type="dxa" w:w="3888"/>
            <w:shd w:fill="D3A019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clearly below</w:t>
            </w:r>
          </w:p>
        </w:tc>
        <w:tc>
          <w:tcPr>
            <w:tcW w:type="dxa" w:w="40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upper bound &lt; threshold</w:t>
            </w:r>
          </w:p>
        </w:tc>
        <w:tc>
          <w:tcPr>
            <w:tcW w:type="dxa" w:w="38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Classify below.</w:t>
            </w:r>
          </w:p>
        </w:tc>
      </w:tr>
      <w:tr>
        <w:trPr>
          <w:cantSplit/>
        </w:trPr>
        <w:tc>
          <w:tcPr>
            <w:tcW w:type="dxa" w:w="187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clearly above</w:t>
            </w:r>
          </w:p>
        </w:tc>
        <w:tc>
          <w:tcPr>
            <w:tcW w:type="dxa" w:w="403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lower bound &gt; threshold</w:t>
            </w:r>
          </w:p>
        </w:tc>
        <w:tc>
          <w:tcPr>
            <w:tcW w:type="dxa" w:w="388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Classify above.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overlaps guard</w:t>
            </w:r>
          </w:p>
        </w:tc>
        <w:tc>
          <w:tcPr>
            <w:tcW w:type="dxa" w:w="403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interval touches the threshold band</w:t>
            </w:r>
          </w:p>
        </w:tc>
        <w:tc>
          <w:tcPr>
            <w:tcW w:type="dxa" w:w="38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Return ambiguous; remeasure or follow policy.</w:t>
            </w:r>
          </w:p>
        </w:tc>
      </w:tr>
      <w:tr>
        <w:trPr>
          <w:cantSplit/>
        </w:trPr>
        <w:tc>
          <w:tcPr>
            <w:tcW w:type="dxa" w:w="187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too uncertain</w:t>
            </w:r>
          </w:p>
        </w:tc>
        <w:tc>
          <w:tcPr>
            <w:tcW w:type="dxa" w:w="403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width exceeds event margin</w:t>
            </w:r>
          </w:p>
        </w:tc>
        <w:tc>
          <w:tcPr>
            <w:tcW w:type="dxa" w:w="388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Reject or simplify the claim.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ONE-BIT JITTER LESSON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 deterministic bit may choose a tiny signed perturbation or route. It is admissible only when its whole interval stays inside the event margin and cannot change the event class or order.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Source basis: SCLP 3.6.2 certified jitter intervals and sweep bounds; KC Atlas and 4.0 spatial ledger use conservative observation intervals.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E8585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SWEEPS AND FINITE SAMPLING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Move a shape along a route without pretending every sweep has a closed form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5F4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1E8585"/>
                <w:sz w:val="25"/>
              </w:rPr>
              <w:t>CHILD ROUTE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Move a cardboard cone or circle along a string. The swept region is every place touched during the trip. If we check only a finite set of stops, we also need a bound on what could happen between them.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D9367"/>
                <w:sz w:val="26"/>
              </w:rPr>
              <w:t>EXACT PRIMITIVE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A declared sphere or finite cone may have an exact local relation.</w:t>
            </w:r>
          </w:p>
        </w:tc>
        <w:tc>
          <w:tcPr>
            <w:tcW w:type="dxa" w:w="4752"/>
            <w:shd w:fill="FFFFFF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D3A019"/>
                <w:sz w:val="26"/>
              </w:rPr>
              <w:t>CERTIFIED SWEEP</w:t>
            </w:r>
          </w:p>
          <w:p>
            <w:pPr>
              <w:spacing w:line="259" w:lineRule="auto" w:after="0"/>
            </w:pPr>
            <w:r>
              <w:rPr>
                <w:rFonts w:ascii="Noto Sans" w:hAnsi="Noto Sans" w:eastAsia="Noto Sans"/>
                <w:color w:val="17242D"/>
                <w:sz w:val="21"/>
              </w:rPr>
              <w:t>Sample minima plus a Lipschitz or motion bound produce an interval for the true sweep relation.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DO NOT OVERCLAIM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 translational sweep certificate is not a universal exact signed-distance formula for arbitrary rotation, deformation or grammar-generated motion. Extra motion terms or a specialized solver may be required.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C8665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FINITE PACKING AND KEYS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A small address can name a cell without storing the whole world</w:t>
            </w:r>
          </w:p>
        </w:tc>
      </w:tr>
    </w:tbl>
    <w:p>
      <w:pPr>
        <w:spacing w:after="0"/>
      </w:pPr>
    </w:p>
    <w:p>
      <w:pPr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2"/>
        </w:rPr>
        <w:t>SCLP supplies two explicit 64-bit layouts for quantized log-radius, angle, modular time and hinge angle. One uses contiguous fields; one interleaves bits in a Morton-style schedule. Both round-trip the same quantized tuple, but the words are intentionally different.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436FAE"/>
              <w:start w:val="single" w:sz="8" w:color="436FAE"/>
              <w:bottom w:val="single" w:sz="8" w:color="436FAE"/>
              <w:end w:val="single" w:sz="8" w:color="436FAE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436FAE"/>
                <w:sz w:val="23"/>
              </w:rPr>
              <w:t>QUANTIZE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Map a declared continuous range to finite integer cells and record the error.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1E8585"/>
                <w:sz w:val="23"/>
              </w:rPr>
              <w:t>PACK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Place integer fields into a declared fixed-width layout.</w:t>
            </w:r>
          </w:p>
        </w:tc>
      </w:tr>
      <w:tr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6A5AA3"/>
                <w:sz w:val="23"/>
              </w:rPr>
              <w:t>PREFIX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Each appended radix bit refines one scheduled interval; it does not directly halve the physical coordinate.</w:t>
            </w:r>
          </w:p>
        </w:tc>
        <w:tc>
          <w:tcPr>
            <w:tcW w:type="dxa" w:w="4723"/>
            <w:shd w:fill="FFFFFF"/>
            <w:tcMar>
              <w:top w:w="105" w:type="dxa"/>
              <w:start w:w="130" w:type="dxa"/>
              <w:bottom w:w="100" w:type="dxa"/>
              <w:end w:w="13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80"/>
            </w:pPr>
            <w:r>
              <w:rPr>
                <w:rFonts w:ascii="Noto Sans" w:hAnsi="Noto Sans" w:eastAsia="Noto Sans"/>
                <w:b/>
                <w:color w:val="D3A019"/>
                <w:sz w:val="23"/>
              </w:rPr>
              <w:t>DECODE</w:t>
            </w:r>
          </w:p>
          <w:p>
            <w:pPr>
              <w:spacing w:line="252" w:lineRule="auto" w:after="0"/>
            </w:pPr>
            <w:r>
              <w:rPr>
                <w:rFonts w:ascii="Noto Sans" w:hAnsi="Noto Sans" w:eastAsia="Noto Sans"/>
                <w:color w:val="17242D"/>
                <w:sz w:val="19"/>
              </w:rPr>
              <w:t>Recover the quantized tuple and its declared range/error, not imaginary infinite detail.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COMPRESSION BOUNDARY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A width ratio is not equal-information compression unless the records preserve the required semantics, reconstruction and error. One sign bit does not retain distance magnitude or uncertainty; a seed does not recreate unstored photons.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Sources: UGTS-GN 1.1 packed precision and compression contracts; SCLP 3.6.2 key layouts and pointerless-storage audit; 4.1/4.1.1 seed-plus-evidence boundary.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D936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APPLICATION: A DETERMINISTIC GAME WORLD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Geometry becomes playable without becoming the sole authority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92"/>
            <w:shd w:fill="4D936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7200"/>
            <w:shd w:fill="4D936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input</w:t>
            </w:r>
          </w:p>
        </w:tc>
        <w:tc>
          <w:tcPr>
            <w:tcW w:type="dxa" w:w="72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Resolve named actions into a serializable frame.</w:t>
            </w:r>
          </w:p>
        </w:tc>
      </w:tr>
      <w:tr>
        <w:trPr>
          <w:cantSplit/>
        </w:trPr>
        <w:tc>
          <w:tcPr>
            <w:tcW w:type="dxa" w:w="259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controller</w:t>
            </w:r>
          </w:p>
        </w:tc>
        <w:tc>
          <w:tcPr>
            <w:tcW w:type="dxa" w:w="720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Turn actions into intended movement or dash.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physics</w:t>
            </w:r>
          </w:p>
        </w:tc>
        <w:tc>
          <w:tcPr>
            <w:tcW w:type="dxa" w:w="72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Integrate bodies under an explicit fixed step.</w:t>
            </w:r>
          </w:p>
        </w:tc>
      </w:tr>
      <w:tr>
        <w:trPr>
          <w:cantSplit/>
        </w:trPr>
        <w:tc>
          <w:tcPr>
            <w:tcW w:type="dxa" w:w="259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bounds</w:t>
            </w:r>
          </w:p>
        </w:tc>
        <w:tc>
          <w:tcPr>
            <w:tcW w:type="dxa" w:w="720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Clamp, bounce or wrap under a declared rule.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collision</w:t>
            </w:r>
          </w:p>
        </w:tc>
        <w:tc>
          <w:tcPr>
            <w:tcW w:type="dxa" w:w="72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Compute candidate pairs and manifolds with filters.</w:t>
            </w:r>
          </w:p>
        </w:tc>
      </w:tr>
      <w:tr>
        <w:trPr>
          <w:cantSplit/>
        </w:trPr>
        <w:tc>
          <w:tcPr>
            <w:tcW w:type="dxa" w:w="259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gameplay</w:t>
            </w:r>
          </w:p>
        </w:tc>
        <w:tc>
          <w:tcPr>
            <w:tcW w:type="dxa" w:w="720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Apply hazards, collectibles and win/lose rules through events.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late / camera / flush</w:t>
            </w:r>
          </w:p>
        </w:tc>
        <w:tc>
          <w:tcPr>
            <w:tcW w:type="dxa" w:w="720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Update lifetime, follow camera and perform deferred destruction.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PICTURE VERSUS WORLD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Vector art, particles, HUD, sound and Canvas output are downstream feedback. Canonical snapshots, events, state hashes and project records carry the testable game identity.</w:t>
            </w:r>
          </w:p>
        </w:tc>
      </w:tr>
    </w:tbl>
    <w:p>
      <w:pPr>
        <w:spacing w:before="100" w:after="0"/>
      </w:pPr>
      <w:r>
        <w:rPr>
          <w:rFonts w:ascii="Noto Sans" w:hAnsi="Noto Sans" w:eastAsia="Noto Sans"/>
          <w:b/>
          <w:color w:val="4B5C66"/>
          <w:sz w:val="17"/>
        </w:rPr>
        <w:t xml:space="preserve">Source note: </w:t>
      </w:r>
      <w:r>
        <w:rPr>
          <w:rFonts w:ascii="Noto Sans" w:hAnsi="Noto Sans" w:eastAsia="Noto Sans"/>
          <w:color w:val="4B5C66"/>
          <w:sz w:val="17"/>
        </w:rPr>
        <w:t>Source: KC Elizabeth 3.9 deterministic GameWorld, vector art, input, animation, collision, saves and self-contained HTML5 runtime.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4D936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THREE HANDS-ON ACTIVITIES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Use household materials and preserve reader control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088"/>
            <w:shd w:fill="4D936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7704"/>
            <w:shd w:fill="4D936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STEPS / CONCEPT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STRING PATH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Tape a string route. Move an arrow token along it. At three points, place a “forward” arrow and a “side” arrow. Ask what happens at a sharp turn or stop.</w:t>
            </w:r>
          </w:p>
        </w:tc>
      </w:tr>
      <w:tr>
        <w:trPr>
          <w:cantSplit/>
        </w:trPr>
        <w:tc>
          <w:tcPr>
            <w:tcW w:type="dxa" w:w="208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FIELD FLOOR</w:t>
            </w:r>
          </w:p>
        </w:tc>
        <w:tc>
          <w:tcPr>
            <w:tcW w:type="dxa" w:w="770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Mark INSIDE, BOUNDARY and OUTSIDE regions with mats or sounds. Place query tokens and let the reader classify, skip or ask for help.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PACKING BOX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9"/>
              </w:rPr>
              <w:t>Use four compartments with fixed capacities. Place coded cards, decode them and compare a contiguous order with an interleaved order. Keep a separate card for uncertainty.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ACCESS OPTIONS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Raised string, textured mats, spatial audio, object cues, switch scanning, partner-assisted placement and recorded descriptions can all express the same concepts.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PHYSICAL BOUNDARY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0"/>
              </w:rPr>
              <w:t>Choose safe material sizes and attachment methods. These are informal learning activities, not manufacturing drawings or certified toys.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6A5AA3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FORMAL BRIDGE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Compact dictionary for builders and adult learners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088"/>
            <w:shd w:fill="6A5AA3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704"/>
            <w:shd w:fill="6A5AA3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CONTRACT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pattern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Versioned operator + parameters + frame + support/tags + validation contract.</w:t>
            </w:r>
          </w:p>
        </w:tc>
      </w:tr>
      <w:tr>
        <w:trPr>
          <w:cantSplit/>
        </w:trPr>
        <w:tc>
          <w:tcPr>
            <w:tcW w:type="dxa" w:w="208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parametric curve</w:t>
            </w:r>
          </w:p>
        </w:tc>
        <w:tc>
          <w:tcPr>
            <w:tcW w:type="dxa" w:w="770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gamma: U -&gt; R^n with declared parameter interval and derivatives/status.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implicit field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f: R^n -&gt; R with declared sign, threshold and exactness capability.</w:t>
            </w:r>
          </w:p>
        </w:tc>
      </w:tr>
      <w:tr>
        <w:trPr>
          <w:cantSplit/>
        </w:trPr>
        <w:tc>
          <w:tcPr>
            <w:tcW w:type="dxa" w:w="208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state_at(t)</w:t>
            </w:r>
          </w:p>
        </w:tc>
        <w:tc>
          <w:tcPr>
            <w:tcW w:type="dxa" w:w="770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Closed expression or bounded integration with a model and error/work contract.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frame_at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Frenet, Bishop or body frame plus validity/fallback status.</w:t>
            </w:r>
          </w:p>
        </w:tc>
      </w:tr>
      <w:tr>
        <w:trPr>
          <w:cantSplit/>
        </w:trPr>
        <w:tc>
          <w:tcPr>
            <w:tcW w:type="dxa" w:w="208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route_class</w:t>
            </w:r>
          </w:p>
        </w:tc>
        <w:tc>
          <w:tcPr>
            <w:tcW w:type="dxa" w:w="770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Winding, homotopy, braid, cell or chart descriptor that supplements coordinates.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guard interval</w:t>
            </w:r>
          </w:p>
        </w:tc>
        <w:tc>
          <w:tcPr>
            <w:tcW w:type="dxa" w:w="7704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Residual/error interval classified against an event margin.</w:t>
            </w:r>
          </w:p>
        </w:tc>
      </w:tr>
      <w:tr>
        <w:trPr>
          <w:cantSplit/>
        </w:trPr>
        <w:tc>
          <w:tcPr>
            <w:tcW w:type="dxa" w:w="2088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packed key</w:t>
            </w:r>
          </w:p>
        </w:tc>
        <w:tc>
          <w:tcPr>
            <w:tcW w:type="dxa" w:w="7704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Invertible finite quantized address under a declared layout and range.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7DC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D3A019"/>
              <w:start w:val="single" w:sz="8" w:color="D3A019"/>
              <w:bottom w:val="single" w:sz="8" w:color="D3A019"/>
              <w:end w:val="single" w:sz="8" w:color="D3A019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D3A019"/>
                <w:sz w:val="25"/>
              </w:rPr>
              <w:t>4.2 CONNECTION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The general OperatorSpec can record each of these operators’ domain, codomain, units, shape, exactness, effects, dependencies and order. A mature domain runtime may remain the implementation while 4.2 supplies schema and handoff discipline.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2304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SOURCE REGISTER AND HONEST LIMITS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What this volume can and cannot establish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20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7272"/>
            <w:shd w:fill="123047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USED FOR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UGTS-KC 2.0</w:t>
            </w:r>
          </w:p>
        </w:tc>
        <w:tc>
          <w:tcPr>
            <w:tcW w:type="dxa" w:w="72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patterns, fields, topology, SE(2)/SE(3), frames, timing, dynamics and kill criteria</w:t>
            </w:r>
          </w:p>
        </w:tc>
      </w:tr>
      <w:tr>
        <w:trPr>
          <w:cantSplit/>
        </w:trPr>
        <w:tc>
          <w:tcPr>
            <w:tcW w:type="dxa" w:w="252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UGTS-KC 3.6</w:t>
            </w:r>
          </w:p>
        </w:tc>
        <w:tc>
          <w:tcPr>
            <w:tcW w:type="dxa" w:w="727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implicit/parametric definitions, hinges and explicit operation order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SCLP 3.6.2</w:t>
            </w:r>
          </w:p>
        </w:tc>
        <w:tc>
          <w:tcPr>
            <w:tcW w:type="dxa" w:w="72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finite cone/sphere relations, sweep intervals, log-polar calculus, winding and 64-bit keys</w:t>
            </w:r>
          </w:p>
        </w:tc>
      </w:tr>
      <w:tr>
        <w:trPr>
          <w:cantSplit/>
        </w:trPr>
        <w:tc>
          <w:tcPr>
            <w:tcW w:type="dxa" w:w="252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KC Two Hands 3.0</w:t>
            </w:r>
          </w:p>
        </w:tc>
        <w:tc>
          <w:tcPr>
            <w:tcW w:type="dxa" w:w="727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spatial indexing, geometry compilation, independent error budgets and downstream rendering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KC Elizabeth 3.9</w:t>
            </w:r>
          </w:p>
        </w:tc>
        <w:tc>
          <w:tcPr>
            <w:tcW w:type="dxa" w:w="72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vector/game runtime, fixed-step phases and persistence</w:t>
            </w:r>
          </w:p>
        </w:tc>
      </w:tr>
      <w:tr>
        <w:trPr>
          <w:cantSplit/>
        </w:trPr>
        <w:tc>
          <w:tcPr>
            <w:tcW w:type="dxa" w:w="2520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KC Atlas / 4.0 / 4.1</w:t>
            </w:r>
          </w:p>
        </w:tc>
        <w:tc>
          <w:tcPr>
            <w:tcW w:type="dxa" w:w="7272"/>
            <w:shd w:fill="F1F5F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uncertainty intervals, observation/authority separation and seed-plus-evidence boundaries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UGTS-KC 4.2</w:t>
            </w:r>
          </w:p>
        </w:tc>
        <w:tc>
          <w:tcPr>
            <w:tcW w:type="dxa" w:w="7272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line="245" w:lineRule="auto"/>
            </w:pPr>
            <w:r>
              <w:rPr>
                <w:rFonts w:ascii="Noto Sans" w:hAnsi="Noto Sans" w:eastAsia="Noto Sans"/>
                <w:color w:val="17242D"/>
                <w:sz w:val="18"/>
              </w:rPr>
              <w:t>general operator and order records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CEDE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C86657"/>
              <w:start w:val="single" w:sz="8" w:color="C86657"/>
              <w:bottom w:val="single" w:sz="8" w:color="C86657"/>
              <w:end w:val="single" w:sz="8" w:color="C8665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C86657"/>
                <w:sz w:val="25"/>
              </w:rPr>
              <w:t>NO MAGIC GEOMETRY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Topology labels do not replace mechanics, conservation laws, sensor calibration or evidence. A finite key does not store infinite detail. A picture does not become authoritative state.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0EC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6A5AA3"/>
              <w:start w:val="single" w:sz="8" w:color="6A5AA3"/>
              <w:bottom w:val="single" w:sz="8" w:color="6A5AA3"/>
              <w:end w:val="single" w:sz="8" w:color="6A5AA3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6A5AA3"/>
                <w:sz w:val="25"/>
              </w:rPr>
              <w:t>EVIDENCE RULE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Tests and demonstrations establish internal properties of their declared implementations. Application accuracy, physical performance and safety require target-specific measurement and review.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9864"/>
            <w:shd w:fill="123047"/>
            <w:tcMar>
              <w:top w:w="130" w:type="dxa"/>
              <w:start w:w="180" w:type="dxa"/>
              <w:bottom w:w="120" w:type="dxa"/>
              <w:end w:w="180" w:type="dxa"/>
            </w:tcMar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after="0"/>
            </w:pPr>
            <w:r>
              <w:rPr>
                <w:rFonts w:ascii="Noto Sans" w:hAnsi="Noto Sans" w:eastAsia="Noto Sans"/>
                <w:b/>
                <w:color w:val="FFFFFF"/>
                <w:sz w:val="38"/>
              </w:rPr>
              <w:t>VOLUME 2 COMPLETE</w:t>
            </w:r>
          </w:p>
          <w:p>
            <w:pPr>
              <w:spacing w:before="60" w:after="0"/>
            </w:pPr>
            <w:r>
              <w:rPr>
                <w:rFonts w:ascii="Noto Sans" w:hAnsi="Noto Sans" w:eastAsia="Noto Sans"/>
                <w:color w:val="E7EFF2"/>
                <w:sz w:val="21"/>
              </w:rPr>
              <w:t>One consecutive library volume, not the end of the project</w:t>
            </w:r>
          </w:p>
        </w:tc>
      </w:tr>
    </w:tbl>
    <w:p>
      <w:pPr>
        <w:spacing w:after="0"/>
      </w:pPr>
    </w:p>
    <w:p>
      <w:pPr>
        <w:pStyle w:val="Heading1"/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What this volume establishes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Pattern, path, field and picture are separated by role.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Inside/boundary/outside queries are taught without calling every field exact distance.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Motion, moving frames, winding and route identity are connected to concrete examples.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Guard intervals teach that “ambiguous” can be the truthful result.</w:t>
      </w:r>
    </w:p>
    <w:p>
      <w:pPr>
        <w:pStyle w:val="ListBullet"/>
        <w:widowControl/>
        <w:spacing w:after="40" w:line="259" w:lineRule="auto"/>
      </w:pPr>
      <w:r>
        <w:rPr>
          <w:rFonts w:ascii="Noto Sans" w:hAnsi="Noto Sans" w:eastAsia="Noto Sans"/>
          <w:color w:val="17242D"/>
          <w:sz w:val="22"/>
        </w:rPr>
        <w:t>Finite keys and seed records are presented with reconstruction and evidence boundaries.</w:t>
      </w:r>
    </w:p>
    <w:p>
      <w:pPr>
        <w:pStyle w:val="Heading2"/>
        <w:widowControl/>
        <w:spacing w:after="100" w:before="0" w:line="269" w:lineRule="auto"/>
      </w:pPr>
      <w:r>
        <w:rPr>
          <w:rFonts w:ascii="Noto Sans" w:hAnsi="Noto Sans" w:eastAsia="Noto Sans"/>
          <w:b w:val="0"/>
          <w:color w:val="17242D"/>
          <w:sz w:val="24"/>
        </w:rPr>
        <w:t>Next volume in the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5F4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1E8585"/>
              <w:start w:val="single" w:sz="8" w:color="1E8585"/>
              <w:bottom w:val="single" w:sz="8" w:color="1E8585"/>
              <w:end w:val="single" w:sz="8" w:color="1E8585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1E8585"/>
                <w:sz w:val="25"/>
              </w:rPr>
              <w:t>VOLUME 3 - IDENTITY, RULES, MEMORY AND REPLAY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3"/>
              </w:rPr>
              <w:t>The next book explains why coordinates and pictures are not identity, how definitions live inside the substrate, and how proposals, commits, hashes, checkpoints and spatial evidence form a trustworthy remembered world.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BF6EF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6" w:color="4D9367"/>
              <w:start w:val="single" w:sz="8" w:color="4D9367"/>
              <w:bottom w:val="single" w:sz="8" w:color="4D9367"/>
              <w:end w:val="single" w:sz="8" w:color="4D9367"/>
            </w:tcBorders>
          </w:tcPr>
          <w:p>
            <w:pPr>
              <w:spacing w:after="60"/>
            </w:pPr>
            <w:r>
              <w:rPr>
                <w:rFonts w:ascii="Noto Sans" w:hAnsi="Noto Sans" w:eastAsia="Noto Sans"/>
                <w:b/>
                <w:color w:val="4D9367"/>
                <w:sz w:val="25"/>
              </w:rPr>
              <w:t>EDITION CONTROL</w:t>
            </w:r>
          </w:p>
          <w:p>
            <w:pPr>
              <w:spacing w:after="0" w:line="264" w:lineRule="auto"/>
            </w:pPr>
            <w:r>
              <w:rPr>
                <w:rFonts w:ascii="Noto Sans" w:hAnsi="Noto Sans" w:eastAsia="Noto Sans"/>
                <w:color w:val="17242D"/>
                <w:sz w:val="21"/>
              </w:rPr>
              <w:t>UGTS Library Edition, Volume 2, edition 0.1. This educational layer explains source releases and does not modify their formal version numbers.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color w:val="4B5C66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  <w:pBdr>
        <w:bottom w:val="single" w:sz="6" w:space="1" w:color="1E8585"/>
      </w:pBdr>
    </w:pPr>
    <w:r>
      <w:rPr>
        <w:rFonts w:ascii="Noto Sans" w:hAnsi="Noto Sans" w:eastAsia="Noto Sans"/>
        <w:b/>
        <w:color w:val="1E8585"/>
        <w:sz w:val="17"/>
      </w:rPr>
      <w:t>UGTS Library Edition  |  Volume 2  |  Shapes, Paths, Fields and Motion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" w:hAnsi="Noto Sans"/>
      <w:color w:val="17242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2304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E858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" w:hAnsi="Noto Sans"/>
      <w:b/>
      <w:bCs/>
      <w:color w:val="6A5AA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" w:hAnsi="Noto Sans"/>
      <w:b/>
      <w:color w:val="12304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Source">
    <w:name w:val="Small Source"/>
    <w:rPr>
      <w:rFonts w:ascii="Noto Sans" w:hAnsi="Noto Sans"/>
      <w:color w:val="4B5C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UGTS Library Edition Volume 2 - Shapes, Paths, Fields and Motion</dc:title>
  <dc:subject>Child-to-expert guide to UGTS geometry, kinematics, uncertainty and finite packing</dc:subject>
  <dc:creator>UGTS Library Project</dc:creator>
  <cp:keywords>UGTS, patterns, fields, paths, motion, frames, SDF, uncertainty, packing</cp:keywords>
  <dc:description>Child-facing educational edition. Unnecessary personal identifiers omitted.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