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320"/>
        <w:jc w:val="left"/>
      </w:pPr>
      <w:r>
        <w:rPr>
          <w:rFonts w:ascii="Liberation Sans" w:hAnsi="Liberation Sans"/>
          <w:b/>
          <w:color w:val="0B2A3B"/>
          <w:sz w:val="58"/>
        </w:rPr>
        <w:t>UNIFIED GEOMETRIC-</w:t>
        <w:br/>
        <w:t>TOPOLOGICAL SUBSTRATE</w:t>
      </w:r>
    </w:p>
    <w:p>
      <w:pPr>
        <w:spacing w:after="240"/>
      </w:pPr>
      <w:r>
        <w:rPr>
          <w:rFonts w:ascii="Liberation Sans" w:hAnsi="Liberation Sans"/>
          <w:b/>
          <w:color w:val="0E6F75"/>
          <w:sz w:val="30"/>
        </w:rPr>
        <w:t>GPU-native compilation, physical-device architecture, performance, memory and compression addendum</w:t>
      </w:r>
    </w:p>
    <w:p>
      <w:pPr>
        <w:spacing w:after="520"/>
      </w:pPr>
      <w:r>
        <w:rPr>
          <w:rFonts w:ascii="Liberation Mono" w:hAnsi="Liberation Mono"/>
          <w:color w:val="64748B"/>
          <w:sz w:val="24"/>
        </w:rPr>
        <w:t>UGTS-GN 1.1</w:t>
      </w:r>
    </w:p>
    <w:p>
      <w:pPr>
        <w:spacing w:after="60"/>
        <w:jc w:val="center"/>
      </w:pPr>
      <w:r>
        <w:drawing>
          <wp:inline xmlns:a="http://schemas.openxmlformats.org/drawingml/2006/main" xmlns:pic="http://schemas.openxmlformats.org/drawingml/2006/picture">
            <wp:extent cx="6400800" cy="796905"/>
            <wp:docPr id="1" name="Picture 1"/>
            <wp:cNvGraphicFramePr>
              <a:graphicFrameLocks noChangeAspect="1"/>
            </wp:cNvGraphicFramePr>
            <a:graphic>
              <a:graphicData uri="http://schemas.openxmlformats.org/drawingml/2006/picture">
                <pic:pic>
                  <pic:nvPicPr>
                    <pic:cNvPr id="0" name="canonical_architecture.png"/>
                    <pic:cNvPicPr/>
                  </pic:nvPicPr>
                  <pic:blipFill>
                    <a:blip r:embed="rId13"/>
                    <a:stretch>
                      <a:fillRect/>
                    </a:stretch>
                  </pic:blipFill>
                  <pic:spPr>
                    <a:xfrm>
                      <a:off x="0" y="0"/>
                      <a:ext cx="6400800" cy="796905"/>
                    </a:xfrm>
                    <a:prstGeom prst="rect"/>
                  </pic:spPr>
                </pic:pic>
              </a:graphicData>
            </a:graphic>
          </wp:inline>
        </w:drawing>
      </w:r>
    </w:p>
    <w:p>
      <w:pPr>
        <w:spacing w:after="160"/>
        <w:jc w:val="center"/>
      </w:pPr>
      <w:r>
        <w:rPr>
          <w:rFonts w:ascii="Liberation Sans" w:hAnsi="Liberation Sans"/>
          <w:i/>
          <w:color w:val="64748B"/>
          <w:sz w:val="16"/>
        </w:rPr>
        <w:t>Canonical query-first substrate: support, compatibility, guard, event, transition and lineage.</w:t>
      </w:r>
    </w:p>
    <w:tbl>
      <w:tblPr>
        <w:tblW w:type="auto" w:w="0"/>
        <w:jc w:val="center"/>
        <w:tblLayout w:type="fixed"/>
        <w:tblLook w:firstColumn="1" w:firstRow="1" w:lastColumn="0" w:lastRow="0" w:noHBand="0" w:noVBand="1" w:val="04A0"/>
        <w:tblBorders>
          <w:top w:val="single" w:sz="6" w:space="0" w:color="D6A527"/>
          <w:left w:val="single" w:sz="6" w:space="0" w:color="D6A527"/>
          <w:bottom w:val="single" w:sz="6" w:space="0" w:color="D6A527"/>
          <w:right w:val="single" w:sz="6" w:space="0" w:color="D6A527"/>
          <w:insideH w:val="single" w:sz="6" w:space="0" w:color="D6A527"/>
          <w:insideV w:val="single" w:sz="6" w:space="0" w:color="D6A527"/>
        </w:tblBorders>
      </w:tblPr>
      <w:tblGrid>
        <w:gridCol w:w="10368"/>
      </w:tblGrid>
      <w:tr>
        <w:tc>
          <w:tcPr>
            <w:tcW w:type="dxa" w:w="10368"/>
            <w:shd w:fill="FFF5D6"/>
            <w:tcMar>
              <w:top w:w="110" w:type="dxa"/>
              <w:start w:w="140" w:type="dxa"/>
              <w:bottom w:w="110" w:type="dxa"/>
              <w:end w:w="140" w:type="dxa"/>
            </w:tcMar>
          </w:tcPr>
          <w:p>
            <w:pPr>
              <w:spacing w:after="40"/>
            </w:pPr>
            <w:r/>
            <w:r>
              <w:rPr>
                <w:rFonts w:ascii="Liberation Sans" w:hAnsi="Liberation Sans"/>
                <w:b/>
                <w:color w:val="D6A527"/>
                <w:sz w:val="16"/>
              </w:rPr>
              <w:t>DELIVERABLE SCOPE</w:t>
            </w:r>
          </w:p>
          <w:p>
            <w:pPr>
              <w:spacing w:after="0" w:line="252" w:lineRule="auto"/>
            </w:pPr>
            <w:r>
              <w:rPr>
                <w:rFonts w:ascii="Liberation Sans" w:hAnsi="Liberation Sans"/>
                <w:color w:val="1F2937"/>
                <w:sz w:val="18"/>
              </w:rPr>
              <w:t>197 normalized mechanisms from 10 source records; four compiled SPIR-V compute modules; direct Vulkan execution; 18 passing reference tests; GPU and physical hardware targets without Unity or Godot adapters.</w:t>
            </w:r>
          </w:p>
        </w:tc>
      </w:tr>
    </w:tbl>
    <w:p>
      <w:pPr>
        <w:spacing w:after="0"/>
      </w:pPr>
    </w:p>
    <w:p>
      <w:pPr>
        <w:spacing w:after="120" w:line="259" w:lineRule="auto"/>
      </w:pPr>
      <w:r>
        <w:rPr>
          <w:rFonts w:ascii="Liberation Sans" w:hAnsi="Liberation Sans" w:eastAsia="Liberation Sans"/>
          <w:i w:val="0"/>
          <w:color w:val="64748B"/>
          <w:sz w:val="18"/>
        </w:rPr>
        <w:t>Date: 15 August 2026</w:t>
      </w:r>
    </w:p>
    <w:p>
      <w:pPr>
        <w:spacing w:after="120" w:line="259" w:lineRule="auto"/>
      </w:pPr>
      <w:r>
        <w:rPr>
          <w:rFonts w:ascii="Liberation Sans" w:hAnsi="Liberation Sans" w:eastAsia="Liberation Sans"/>
          <w:i w:val="0"/>
          <w:color w:val="64748B"/>
          <w:sz w:val="18"/>
        </w:rPr>
        <w:t>Evidence boundary: source-derived operators are separated from engineering translations, benchmarks and rejected claims.</w:t>
      </w:r>
    </w:p>
    <w:p>
      <w:r>
        <w:br w:type="page"/>
      </w:r>
    </w:p>
    <w:p>
      <w:pPr>
        <w:pStyle w:val="Heading1"/>
      </w:pPr>
      <w:r>
        <w:t>Contents</w:t>
      </w:r>
    </w:p>
    <w:p>
      <w:pPr>
        <w:pStyle w:val="ListBullet"/>
        <w:spacing w:after="60" w:line="252" w:lineRule="auto"/>
      </w:pPr>
      <w:r>
        <w:rPr>
          <w:rFonts w:ascii="Liberation Sans" w:hAnsi="Liberation Sans" w:eastAsia="Liberation Sans"/>
        </w:rPr>
        <w:t>1. Executive synthesis</w:t>
      </w:r>
    </w:p>
    <w:p>
      <w:pPr>
        <w:pStyle w:val="ListBullet"/>
        <w:spacing w:after="60" w:line="252" w:lineRule="auto"/>
      </w:pPr>
      <w:r>
        <w:rPr>
          <w:rFonts w:ascii="Liberation Sans" w:hAnsi="Liberation Sans" w:eastAsia="Liberation Sans"/>
        </w:rPr>
        <w:t>2. Evidence and normalization discipline</w:t>
      </w:r>
    </w:p>
    <w:p>
      <w:pPr>
        <w:pStyle w:val="ListBullet"/>
        <w:spacing w:after="60" w:line="252" w:lineRule="auto"/>
      </w:pPr>
      <w:r>
        <w:rPr>
          <w:rFonts w:ascii="Liberation Sans" w:hAnsi="Liberation Sans" w:eastAsia="Liberation Sans"/>
        </w:rPr>
        <w:t>3. Canonical substrate architecture</w:t>
      </w:r>
    </w:p>
    <w:p>
      <w:pPr>
        <w:pStyle w:val="ListBullet"/>
        <w:spacing w:after="60" w:line="252" w:lineRule="auto"/>
      </w:pPr>
      <w:r>
        <w:rPr>
          <w:rFonts w:ascii="Liberation Sans" w:hAnsi="Liberation Sans" w:eastAsia="Liberation Sans"/>
        </w:rPr>
        <w:t>4. Addendum: glyph, timeline and threshold structures</w:t>
      </w:r>
    </w:p>
    <w:p>
      <w:pPr>
        <w:pStyle w:val="ListBullet"/>
        <w:spacing w:after="60" w:line="252" w:lineRule="auto"/>
      </w:pPr>
      <w:r>
        <w:rPr>
          <w:rFonts w:ascii="Liberation Sans" w:hAnsi="Liberation Sans" w:eastAsia="Liberation Sans"/>
        </w:rPr>
        <w:t>5. Unified mechanism taxonomy</w:t>
      </w:r>
    </w:p>
    <w:p>
      <w:pPr>
        <w:pStyle w:val="ListBullet"/>
        <w:spacing w:after="60" w:line="252" w:lineRule="auto"/>
      </w:pPr>
      <w:r>
        <w:rPr>
          <w:rFonts w:ascii="Liberation Sans" w:hAnsi="Liberation Sans" w:eastAsia="Liberation Sans"/>
        </w:rPr>
        <w:t>6. GPU-native compiler and runtime</w:t>
      </w:r>
    </w:p>
    <w:p>
      <w:pPr>
        <w:pStyle w:val="ListBullet"/>
        <w:spacing w:after="60" w:line="252" w:lineRule="auto"/>
      </w:pPr>
      <w:r>
        <w:rPr>
          <w:rFonts w:ascii="Liberation Sans" w:hAnsi="Liberation Sans" w:eastAsia="Liberation Sans"/>
        </w:rPr>
        <w:t>7. State and event ABI</w:t>
      </w:r>
    </w:p>
    <w:p>
      <w:pPr>
        <w:pStyle w:val="ListBullet"/>
        <w:spacing w:after="60" w:line="252" w:lineRule="auto"/>
      </w:pPr>
      <w:r>
        <w:rPr>
          <w:rFonts w:ascii="Liberation Sans" w:hAnsi="Liberation Sans" w:eastAsia="Liberation Sans"/>
        </w:rPr>
        <w:t>8. Measured performance</w:t>
      </w:r>
    </w:p>
    <w:p>
      <w:pPr>
        <w:pStyle w:val="ListBullet"/>
        <w:spacing w:after="60" w:line="252" w:lineRule="auto"/>
      </w:pPr>
      <w:r>
        <w:rPr>
          <w:rFonts w:ascii="Liberation Sans" w:hAnsi="Liberation Sans" w:eastAsia="Liberation Sans"/>
        </w:rPr>
        <w:t>9. Memory and compression</w:t>
      </w:r>
    </w:p>
    <w:p>
      <w:pPr>
        <w:pStyle w:val="ListBullet"/>
        <w:spacing w:after="60" w:line="252" w:lineRule="auto"/>
      </w:pPr>
      <w:r>
        <w:rPr>
          <w:rFonts w:ascii="Liberation Sans" w:hAnsi="Liberation Sans" w:eastAsia="Liberation Sans"/>
        </w:rPr>
        <w:t>10. Physical device architecture</w:t>
      </w:r>
    </w:p>
    <w:p>
      <w:pPr>
        <w:pStyle w:val="ListBullet"/>
        <w:spacing w:after="60" w:line="252" w:lineRule="auto"/>
      </w:pPr>
      <w:r>
        <w:rPr>
          <w:rFonts w:ascii="Liberation Sans" w:hAnsi="Liberation Sans" w:eastAsia="Liberation Sans"/>
        </w:rPr>
        <w:t>11. Validation, corrections and kill criteria</w:t>
      </w:r>
    </w:p>
    <w:p>
      <w:pPr>
        <w:pStyle w:val="ListBullet"/>
        <w:spacing w:after="60" w:line="252" w:lineRule="auto"/>
      </w:pPr>
      <w:r>
        <w:rPr>
          <w:rFonts w:ascii="Liberation Sans" w:hAnsi="Liberation Sans" w:eastAsia="Liberation Sans"/>
        </w:rPr>
        <w:t>12. Implementation and reproduction</w:t>
      </w:r>
    </w:p>
    <w:p>
      <w:pPr>
        <w:pStyle w:val="ListBullet"/>
        <w:spacing w:after="60" w:line="252" w:lineRule="auto"/>
      </w:pPr>
      <w:r>
        <w:rPr>
          <w:rFonts w:ascii="Liberation Sans" w:hAnsi="Liberation Sans" w:eastAsia="Liberation Sans"/>
        </w:rPr>
        <w:t>Appendix A. Complete 197-mechanism catalog</w:t>
      </w:r>
    </w:p>
    <w:p>
      <w:pPr>
        <w:pStyle w:val="ListBullet"/>
        <w:spacing w:after="60" w:line="252" w:lineRule="auto"/>
      </w:pPr>
      <w:r>
        <w:rPr>
          <w:rFonts w:ascii="Liberation Sans" w:hAnsi="Liberation Sans" w:eastAsia="Liberation Sans"/>
        </w:rPr>
        <w:t>Appendix B. Claims ledger</w:t>
      </w:r>
    </w:p>
    <w:p>
      <w:pPr>
        <w:pStyle w:val="ListBullet"/>
        <w:spacing w:after="60" w:line="252" w:lineRule="auto"/>
      </w:pPr>
      <w:r>
        <w:rPr>
          <w:rFonts w:ascii="Liberation Sans" w:hAnsi="Liberation Sans" w:eastAsia="Liberation Sans"/>
        </w:rPr>
        <w:t>Appendix C. Metric and register dictionaries</w:t>
      </w:r>
    </w:p>
    <w:p>
      <w:pPr>
        <w:pStyle w:val="ListBullet"/>
        <w:spacing w:after="60" w:line="252" w:lineRule="auto"/>
      </w:pPr>
      <w:r>
        <w:rPr>
          <w:rFonts w:ascii="Liberation Sans" w:hAnsi="Liberation Sans" w:eastAsia="Liberation Sans"/>
        </w:rPr>
        <w:t>Appendix D. Source basis and package verification</w:t>
      </w:r>
    </w:p>
    <w:tbl>
      <w:tblPr>
        <w:tblW w:type="auto" w:w="0"/>
        <w:jc w:val="center"/>
        <w:tblLayout w:type="fixed"/>
        <w:tblLook w:firstColumn="1" w:firstRow="1" w:lastColumn="0" w:lastRow="0" w:noHBand="0" w:noVBand="1" w:val="04A0"/>
        <w:tblBorders>
          <w:top w:val="single" w:sz="6" w:space="0" w:color="0E6F75"/>
          <w:left w:val="single" w:sz="6" w:space="0" w:color="0E6F75"/>
          <w:bottom w:val="single" w:sz="6" w:space="0" w:color="0E6F75"/>
          <w:right w:val="single" w:sz="6" w:space="0" w:color="0E6F75"/>
          <w:insideH w:val="single" w:sz="6" w:space="0" w:color="0E6F75"/>
          <w:insideV w:val="single" w:sz="6" w:space="0" w:color="0E6F75"/>
        </w:tblBorders>
      </w:tblPr>
      <w:tblGrid>
        <w:gridCol w:w="10368"/>
      </w:tblGrid>
      <w:tr>
        <w:tc>
          <w:tcPr>
            <w:tcW w:type="dxa" w:w="10368"/>
            <w:shd w:fill="E8F4F4"/>
            <w:tcMar>
              <w:top w:w="110" w:type="dxa"/>
              <w:start w:w="140" w:type="dxa"/>
              <w:bottom w:w="110" w:type="dxa"/>
              <w:end w:w="140" w:type="dxa"/>
            </w:tcMar>
          </w:tcPr>
          <w:p>
            <w:pPr>
              <w:spacing w:after="40"/>
            </w:pPr>
            <w:r/>
            <w:r>
              <w:rPr>
                <w:rFonts w:ascii="Liberation Sans" w:hAnsi="Liberation Sans"/>
                <w:b/>
                <w:color w:val="0E6F75"/>
                <w:sz w:val="16"/>
              </w:rPr>
              <w:t>READING RULE</w:t>
            </w:r>
          </w:p>
          <w:p>
            <w:pPr>
              <w:spacing w:after="0" w:line="252" w:lineRule="auto"/>
            </w:pPr>
            <w:r>
              <w:rPr>
                <w:rFonts w:ascii="Liberation Sans" w:hAnsi="Liberation Sans"/>
                <w:color w:val="1F2937"/>
                <w:sz w:val="18"/>
              </w:rPr>
              <w:t>The core is not a renderer. It is a directly queryable state-and-event substrate. Projection, display, print and actuation are downstream endpoints. [S03 pp. 5-12]</w:t>
            </w:r>
          </w:p>
        </w:tc>
      </w:tr>
    </w:tbl>
    <w:p>
      <w:pPr>
        <w:spacing w:after="0"/>
      </w:pPr>
    </w:p>
    <w:p>
      <w:pPr>
        <w:pStyle w:val="Heading1"/>
      </w:pPr>
      <w:r>
        <w:t>1. Executive synthesis</w:t>
      </w:r>
    </w:p>
    <w:p>
      <w:pPr>
        <w:spacing w:after="120" w:line="259" w:lineRule="auto"/>
      </w:pPr>
      <w:r>
        <w:rPr>
          <w:rFonts w:ascii="Liberation Sans" w:hAnsi="Liberation Sans" w:eastAsia="Liberation Sans"/>
          <w:i w:val="0"/>
        </w:rPr>
        <w:t>This addendum integrates the newly supplied glyph-to-bit document into the earlier unified corpus and changes the implementation target. The authoritative computational path is now direct Vulkan/SPIR-V compute or a measured physical device. Game-engine bridges are intentionally absent from the package.</w:t>
      </w:r>
    </w:p>
    <w:p>
      <w:pPr>
        <w:spacing w:after="120" w:line="259" w:lineRule="auto"/>
      </w:pPr>
      <w:r>
        <w:rPr>
          <w:rFonts w:ascii="Liberation Sans" w:hAnsi="Liberation Sans" w:eastAsia="Liberation Sans"/>
          <w:i w:val="0"/>
        </w:rPr>
        <w:t>The clean technical substrate is a finite grammar over typed state. Local radial-angular support removes irrelevant candidates; compatibility determines whether co-located states can couple; a relation or guard defines a transition surface; the earliest valid crossing becomes an event; transition logic updates route, topology and lineage; only irreducible novelty must be logged. This is the mature architecture stated by the corpus itself. [S03 pp. 5-12]</w:t>
      </w:r>
    </w:p>
    <w:p>
      <w:pPr>
        <w:spacing w:after="60"/>
        <w:jc w:val="center"/>
      </w:pPr>
      <w:r>
        <w:drawing>
          <wp:inline xmlns:a="http://schemas.openxmlformats.org/drawingml/2006/main" xmlns:pic="http://schemas.openxmlformats.org/drawingml/2006/picture">
            <wp:extent cx="6309360" cy="785521"/>
            <wp:docPr id="2" name="Picture 2"/>
            <wp:cNvGraphicFramePr>
              <a:graphicFrameLocks noChangeAspect="1"/>
            </wp:cNvGraphicFramePr>
            <a:graphic>
              <a:graphicData uri="http://schemas.openxmlformats.org/drawingml/2006/picture">
                <pic:pic>
                  <pic:nvPicPr>
                    <pic:cNvPr id="0" name="canonical_architecture.png"/>
                    <pic:cNvPicPr/>
                  </pic:nvPicPr>
                  <pic:blipFill>
                    <a:blip r:embed="rId13"/>
                    <a:stretch>
                      <a:fillRect/>
                    </a:stretch>
                  </pic:blipFill>
                  <pic:spPr>
                    <a:xfrm>
                      <a:off x="0" y="0"/>
                      <a:ext cx="6309360" cy="785521"/>
                    </a:xfrm>
                    <a:prstGeom prst="rect"/>
                  </pic:spPr>
                </pic:pic>
              </a:graphicData>
            </a:graphic>
          </wp:inline>
        </w:drawing>
      </w:r>
    </w:p>
    <w:p>
      <w:pPr>
        <w:spacing w:after="160"/>
        <w:jc w:val="center"/>
      </w:pPr>
      <w:r>
        <w:rPr>
          <w:rFonts w:ascii="Liberation Sans" w:hAnsi="Liberation Sans"/>
          <w:i/>
          <w:color w:val="64748B"/>
          <w:sz w:val="16"/>
        </w:rPr>
        <w:t>Figure 1. Canonical unification. Rendering and actuation are optional consumers, not the state authority.</w:t>
      </w:r>
    </w:p>
    <w:p>
      <w:pPr>
        <w:pStyle w:val="Heading2"/>
      </w:pPr>
      <w:r>
        <w:t>1.1 What was added</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216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Addition</w:t>
            </w:r>
          </w:p>
        </w:tc>
        <w:tc>
          <w:tcPr>
            <w:tcW w:type="dxa" w:w="5903"/>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Technical role</w:t>
            </w:r>
          </w:p>
        </w:tc>
        <w:tc>
          <w:tcPr>
            <w:tcW w:type="dxa" w:w="2015"/>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Disposition</w:t>
            </w:r>
          </w:p>
        </w:tc>
      </w:tr>
      <w:tr>
        <w:trPr>
          <w:cantSplit/>
        </w:trPr>
        <w:tc>
          <w:tcPr>
            <w:tcW w:type="dxa" w:w="216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Versioned glyph encoder</w:t>
            </w:r>
          </w:p>
        </w:tc>
        <w:tc>
          <w:tcPr>
            <w:tcW w:type="dxa" w:w="590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Separates ordinary 100%=1 from the source-defined 100100_2=36 transform.</w:t>
            </w:r>
          </w:p>
        </w:tc>
        <w:tc>
          <w:tcPr>
            <w:tcW w:type="dxa" w:w="201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Bounded, schema-controlled</w:t>
            </w:r>
          </w:p>
        </w:tc>
      </w:tr>
      <w:tr>
        <w:trPr>
          <w:cantSplit/>
        </w:trPr>
        <w:tc>
          <w:tcPr>
            <w:tcW w:type="dxa" w:w="216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Two-pulse timeline</w:t>
            </w:r>
          </w:p>
        </w:tc>
        <w:tc>
          <w:tcPr>
            <w:tcW w:type="dxa" w:w="590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Treats bit positions 5 and 2 as two address pulses separated by three positions.</w:t>
            </w:r>
          </w:p>
        </w:tc>
        <w:tc>
          <w:tcPr>
            <w:tcW w:type="dxa" w:w="201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Retained as encoding/address structure</w:t>
            </w:r>
          </w:p>
        </w:tc>
      </w:tr>
      <w:tr>
        <w:trPr>
          <w:cantSplit/>
        </w:trPr>
        <w:tc>
          <w:tcPr>
            <w:tcW w:type="dxa" w:w="216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Log-polar/SDF/BST register model</w:t>
            </w:r>
          </w:p>
        </w:tc>
        <w:tc>
          <w:tcPr>
            <w:tcW w:type="dxa" w:w="590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Provides coordinate addressing, guard evaluation, one-bit route/jitter metadata and branch selection.</w:t>
            </w:r>
          </w:p>
        </w:tc>
        <w:tc>
          <w:tcPr>
            <w:tcW w:type="dxa" w:w="201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Translated into typed GPU fields</w:t>
            </w:r>
          </w:p>
        </w:tc>
      </w:tr>
      <w:tr>
        <w:trPr>
          <w:cantSplit/>
        </w:trPr>
        <w:tc>
          <w:tcPr>
            <w:tcW w:type="dxa" w:w="216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Trident/Pythagorean cup</w:t>
            </w:r>
          </w:p>
        </w:tc>
        <w:tc>
          <w:tcPr>
            <w:tcW w:type="dxa" w:w="590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Three channels converge at a threshold and trigger a reset/drain.</w:t>
            </w:r>
          </w:p>
        </w:tc>
        <w:tc>
          <w:tcPr>
            <w:tcW w:type="dxa" w:w="201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Retained as hysteretic state-machine pattern</w:t>
            </w:r>
          </w:p>
        </w:tc>
      </w:tr>
      <w:tr>
        <w:trPr>
          <w:cantSplit/>
        </w:trPr>
        <w:tc>
          <w:tcPr>
            <w:tcW w:type="dxa" w:w="216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GPU-native target</w:t>
            </w:r>
          </w:p>
        </w:tc>
        <w:tc>
          <w:tcPr>
            <w:tcW w:type="dxa" w:w="590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GLSL 450 -&gt; SPIR-V 1.4 -&gt; direct Vulkan compute pipeline.</w:t>
            </w:r>
          </w:p>
        </w:tc>
        <w:tc>
          <w:tcPr>
            <w:tcW w:type="dxa" w:w="201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Implemented and validated on named software Vulkan device</w:t>
            </w:r>
          </w:p>
        </w:tc>
      </w:tr>
      <w:tr>
        <w:trPr>
          <w:cantSplit/>
        </w:trPr>
        <w:tc>
          <w:tcPr>
            <w:tcW w:type="dxa" w:w="216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Physical-device target</w:t>
            </w:r>
          </w:p>
        </w:tc>
        <w:tc>
          <w:tcPr>
            <w:tcW w:type="dxa" w:w="590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Fixed-function support/compatibility/guard/commit pipeline plus optofluidic endpoint.</w:t>
            </w:r>
          </w:p>
        </w:tc>
        <w:tc>
          <w:tcPr>
            <w:tcW w:type="dxa" w:w="201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Architecture specified; lab validation required</w:t>
            </w:r>
          </w:p>
        </w:tc>
      </w:tr>
    </w:tbl>
    <w:p>
      <w:pPr>
        <w:spacing w:after="0"/>
      </w:pPr>
    </w:p>
    <w:p>
      <w:pPr>
        <w:pStyle w:val="Heading2"/>
      </w:pPr>
      <w:r>
        <w:t>1.2 Concrete deliverables</w:t>
      </w:r>
    </w:p>
    <w:p>
      <w:pPr>
        <w:pStyle w:val="ListBullet"/>
        <w:spacing w:after="60" w:line="252" w:lineRule="auto"/>
      </w:pPr>
      <w:r>
        <w:rPr>
          <w:rFonts w:ascii="Liberation Sans" w:hAnsi="Liberation Sans" w:eastAsia="Liberation Sans"/>
        </w:rPr>
        <w:t>197 normalized mechanisms with source basis, technical definition, GPU realization, physical realization, disposition and validation state.</w:t>
      </w:r>
    </w:p>
    <w:p>
      <w:pPr>
        <w:pStyle w:val="ListBullet"/>
        <w:spacing w:after="60" w:line="252" w:lineRule="auto"/>
      </w:pPr>
      <w:r>
        <w:rPr>
          <w:rFonts w:ascii="Liberation Sans" w:hAnsi="Liberation Sans" w:eastAsia="Liberation Sans"/>
        </w:rPr>
        <w:t>Four compiled SPIR-V modules: G64/E32 evaluate, G64/E32 evaluate+commit, G32/E16 evaluate and G32/E16 evaluate+commit.</w:t>
      </w:r>
    </w:p>
    <w:p>
      <w:pPr>
        <w:pStyle w:val="ListBullet"/>
        <w:spacing w:after="60" w:line="252" w:lineRule="auto"/>
      </w:pPr>
      <w:r>
        <w:rPr>
          <w:rFonts w:ascii="Liberation Sans" w:hAnsi="Liberation Sans" w:eastAsia="Liberation Sans"/>
        </w:rPr>
        <w:t>A direct Vulkan runtime with device timestamps, cold and cache-seeded pipeline creation, pipeline-cache reload and CPU-oracle validation.</w:t>
      </w:r>
    </w:p>
    <w:p>
      <w:pPr>
        <w:pStyle w:val="ListBullet"/>
        <w:spacing w:after="60" w:line="252" w:lineRule="auto"/>
      </w:pPr>
      <w:r>
        <w:rPr>
          <w:rFonts w:ascii="Liberation Sans" w:hAnsi="Liberation Sans" w:eastAsia="Liberation Sans"/>
        </w:rPr>
        <w:t>A dependency-free Python oracle, binary record packers, JSON schema, examples and 18 automated tests.</w:t>
      </w:r>
    </w:p>
    <w:p>
      <w:pPr>
        <w:pStyle w:val="ListBullet"/>
        <w:spacing w:after="60" w:line="252" w:lineRule="auto"/>
      </w:pPr>
      <w:r>
        <w:rPr>
          <w:rFonts w:ascii="Liberation Sans" w:hAnsi="Liberation Sans" w:eastAsia="Liberation Sans"/>
        </w:rPr>
        <w:t>A fixed-function Q16.16 RTL reference gate, register map, measurement plan and optofluidic architecture.</w:t>
      </w:r>
    </w:p>
    <w:p>
      <w:pPr>
        <w:pStyle w:val="ListBullet"/>
        <w:spacing w:after="60" w:line="252" w:lineRule="auto"/>
      </w:pPr>
      <w:r>
        <w:rPr>
          <w:rFonts w:ascii="Liberation Sans" w:hAnsi="Liberation Sans" w:eastAsia="Liberation Sans"/>
        </w:rPr>
        <w:t>Raw benchmark results, named metrics, memory statistics, compression models and plots.</w:t>
      </w:r>
    </w:p>
    <w:tbl>
      <w:tblPr>
        <w:tblW w:type="auto" w:w="0"/>
        <w:jc w:val="center"/>
        <w:tblLayout w:type="fixed"/>
        <w:tblLook w:firstColumn="1" w:firstRow="1" w:lastColumn="0" w:lastRow="0" w:noHBand="0" w:noVBand="1" w:val="04A0"/>
        <w:tblBorders>
          <w:top w:val="single" w:sz="6" w:space="0" w:color="B4534B"/>
          <w:left w:val="single" w:sz="6" w:space="0" w:color="B4534B"/>
          <w:bottom w:val="single" w:sz="6" w:space="0" w:color="B4534B"/>
          <w:right w:val="single" w:sz="6" w:space="0" w:color="B4534B"/>
          <w:insideH w:val="single" w:sz="6" w:space="0" w:color="B4534B"/>
          <w:insideV w:val="single" w:sz="6" w:space="0" w:color="B4534B"/>
        </w:tblBorders>
      </w:tblPr>
      <w:tblGrid>
        <w:gridCol w:w="10368"/>
      </w:tblGrid>
      <w:tr>
        <w:tc>
          <w:tcPr>
            <w:tcW w:type="dxa" w:w="10368"/>
            <w:shd w:fill="FCEDEA"/>
            <w:tcMar>
              <w:top w:w="110" w:type="dxa"/>
              <w:start w:w="140" w:type="dxa"/>
              <w:bottom w:w="110" w:type="dxa"/>
              <w:end w:w="140" w:type="dxa"/>
            </w:tcMar>
          </w:tcPr>
          <w:p>
            <w:pPr>
              <w:spacing w:after="40"/>
            </w:pPr>
            <w:r/>
            <w:r>
              <w:rPr>
                <w:rFonts w:ascii="Liberation Sans" w:hAnsi="Liberation Sans"/>
                <w:b/>
                <w:color w:val="B4534B"/>
                <w:sz w:val="16"/>
              </w:rPr>
              <w:t>BENCHMARK BOUNDARY</w:t>
            </w:r>
          </w:p>
          <w:p>
            <w:pPr>
              <w:spacing w:after="0" w:line="252" w:lineRule="auto"/>
            </w:pPr>
            <w:r>
              <w:rPr>
                <w:rFonts w:ascii="Liberation Sans" w:hAnsi="Liberation Sans"/>
                <w:color w:val="1F2937"/>
                <w:sz w:val="18"/>
              </w:rPr>
              <w:t>The validation device is SwiftShader Device (Subzero) (Vulkan 1.3.0, device type CPU/software). The run proves API-native execution and measured performance on that named device. It does not prove physical-GPU, FPGA, ASIC or photonic speed.</w:t>
            </w:r>
          </w:p>
        </w:tc>
      </w:tr>
    </w:tbl>
    <w:p>
      <w:pPr>
        <w:spacing w:after="0"/>
      </w:pPr>
    </w:p>
    <w:p>
      <w:pPr>
        <w:pStyle w:val="Heading1"/>
      </w:pPr>
      <w:r>
        <w:t>2. Evidence and normalization discipline</w:t>
      </w:r>
    </w:p>
    <w:p>
      <w:pPr>
        <w:spacing w:after="120" w:line="259" w:lineRule="auto"/>
      </w:pPr>
      <w:r>
        <w:rPr>
          <w:rFonts w:ascii="Liberation Sans" w:hAnsi="Liberation Sans" w:eastAsia="Liberation Sans"/>
          <w:i w:val="0"/>
        </w:rPr>
        <w:t>The source corpus contains exact arithmetic, useful construction rules, visual analogies, speculative physical claims and self-corrections. A clean substrate cannot silently treat all of them as equally established. Every extracted item therefore receives a disposition: RETAIN, TRANSLATE, CORRECTED, BOUNDED, OPTIONAL, DEMOTE or REJECT.</w:t>
      </w:r>
    </w:p>
    <w:p>
      <w:pPr>
        <w:pStyle w:val="Heading2"/>
      </w:pPr>
      <w:r>
        <w:t>2.1 Admission rule</w:t>
      </w:r>
    </w:p>
    <w:p>
      <w:pPr>
        <w:spacing w:after="120" w:line="259" w:lineRule="auto"/>
      </w:pPr>
      <w:r>
        <w:rPr>
          <w:rFonts w:ascii="Liberation Sans" w:hAnsi="Liberation Sans" w:eastAsia="Liberation Sans"/>
          <w:i w:val="0"/>
        </w:rPr>
        <w:t>A motif enters the technical core only when it can be represented as a typed field, coordinate transform, support predicate, relation surface, compatibility predicate, transition/routing map, lineage rule, calibrated transfer function or measurable resource/error quantity.</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Disposition</w:t>
            </w:r>
          </w:p>
        </w:tc>
        <w:tc>
          <w:tcPr>
            <w:tcW w:type="dxa" w:w="705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Meaning</w:t>
            </w:r>
          </w:p>
        </w:tc>
        <w:tc>
          <w:tcPr>
            <w:tcW w:type="dxa" w:w="1007"/>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Count</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RETAIN</w:t>
            </w:r>
          </w:p>
        </w:tc>
        <w:tc>
          <w:tcPr>
            <w:tcW w:type="dxa" w:w="70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Kept as a direct operator or exact construction.</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129</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TRANSLATE</w:t>
            </w:r>
          </w:p>
        </w:tc>
        <w:tc>
          <w:tcPr>
            <w:tcW w:type="dxa" w:w="70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Converted from corpus language into a typed/measurable operator.</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37</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CORRECTED</w:t>
            </w:r>
          </w:p>
        </w:tc>
        <w:tc>
          <w:tcPr>
            <w:tcW w:type="dxa" w:w="70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Preserved after an explicit arithmetic, dimensional or terminology correction.</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10</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REJECT</w:t>
            </w:r>
          </w:p>
        </w:tc>
        <w:tc>
          <w:tcPr>
            <w:tcW w:type="dxa" w:w="70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Excluded from requirements because unsupported or absolute.</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9</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BOUNDED</w:t>
            </w:r>
          </w:p>
        </w:tc>
        <w:tc>
          <w:tcPr>
            <w:tcW w:type="dxa" w:w="70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Valid only under a declared schema, relation family or error range.</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7</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OPTIONAL</w:t>
            </w:r>
          </w:p>
        </w:tc>
        <w:tc>
          <w:tcPr>
            <w:tcW w:type="dxa" w:w="70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Useful downstream projection or implementation path.</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3</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DEMOTE</w:t>
            </w:r>
          </w:p>
        </w:tc>
        <w:tc>
          <w:tcPr>
            <w:tcW w:type="dxa" w:w="70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Retained as analogy or research prompt, not core mechanism.</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2</w:t>
            </w:r>
          </w:p>
        </w:tc>
      </w:tr>
    </w:tbl>
    <w:p>
      <w:pPr>
        <w:spacing w:after="0"/>
      </w:pPr>
    </w:p>
    <w:p>
      <w:pPr>
        <w:pStyle w:val="Heading2"/>
      </w:pPr>
      <w:r>
        <w:t>2.2 Source-derived versus engineering-derived</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194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Layer</w:t>
            </w:r>
          </w:p>
        </w:tc>
        <w:tc>
          <w:tcPr>
            <w:tcW w:type="dxa" w:w="446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Contains</w:t>
            </w:r>
          </w:p>
        </w:tc>
        <w:tc>
          <w:tcPr>
            <w:tcW w:type="dxa" w:w="460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Examples</w:t>
            </w:r>
          </w:p>
        </w:tc>
      </w:tr>
      <w:tr>
        <w:trPr>
          <w:cantSplit/>
        </w:trPr>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Source-derived</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Operators and structures explicitly present in the PDFs.</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Radix thresholds, Pascal parity, cut-and-unroll glyph morphs, parity hinge, SDF boundary, double-vacuum non-coupling, hourglass routing, waveguide B.C.E.</w:t>
            </w:r>
          </w:p>
        </w:tc>
      </w:tr>
      <w:tr>
        <w:trPr>
          <w:cantSplit/>
        </w:trPr>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Engineering normalization</w:t>
            </w:r>
          </w:p>
        </w:tc>
        <w:tc>
          <w:tcPr>
            <w:tcW w:type="dxa" w:w="44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 precise implementation that preserves the source motif while adding types and bounds.</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G64/E32 and G32/E16 ABI, Vulkan descriptors, Q16.16 squared guard, event FIFO, schema versioning.</w:t>
            </w:r>
          </w:p>
        </w:tc>
      </w:tr>
      <w:tr>
        <w:trPr>
          <w:cantSplit/>
        </w:trPr>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Measured package evidence</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Results produced by the bundled implementation.</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SPIR-V sizes, pipeline creation, dispatch latency, candidate/event rates, memory and validation flags.</w:t>
            </w:r>
          </w:p>
        </w:tc>
      </w:tr>
      <w:tr>
        <w:trPr>
          <w:cantSplit/>
        </w:trPr>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Rejected/unsupported</w:t>
            </w:r>
          </w:p>
        </w:tc>
        <w:tc>
          <w:tcPr>
            <w:tcW w:type="dxa" w:w="44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Claims that the sources do not technically establish.</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Zero latency/heat/memory, one bit as total state, physical Klein self-assembly, 202.74 J from 0.680 bits, universal O(1).</w:t>
            </w:r>
          </w:p>
        </w:tc>
      </w:tr>
    </w:tbl>
    <w:p>
      <w:pPr>
        <w:spacing w:after="0"/>
      </w:pPr>
    </w:p>
    <w:p>
      <w:pPr>
        <w:pStyle w:val="Heading2"/>
      </w:pPr>
      <w:r>
        <w:t>2.3 Privacy and source handling</w:t>
      </w:r>
    </w:p>
    <w:p>
      <w:pPr>
        <w:spacing w:after="120" w:line="259" w:lineRule="auto"/>
      </w:pPr>
      <w:r>
        <w:rPr>
          <w:rFonts w:ascii="Liberation Sans" w:hAnsi="Liberation Sans" w:eastAsia="Liberation Sans"/>
          <w:i w:val="0"/>
        </w:rPr>
        <w:t>The package does not redistribute raw extracted text from the uploaded PDFs. It includes hashes, privacy-safe source notes, normalized mechanisms and a source register. Personal identifiers and unrelated narrative/political passages were excluded from the synthesis.</w:t>
      </w:r>
    </w:p>
    <w:p>
      <w:pPr>
        <w:pStyle w:val="Heading1"/>
      </w:pPr>
      <w:r>
        <w:t>3. Canonical substrate architecture</w:t>
      </w:r>
    </w:p>
    <w:p>
      <w:pPr>
        <w:spacing w:after="120" w:line="259" w:lineRule="auto"/>
      </w:pPr>
      <w:r>
        <w:rPr>
          <w:rFonts w:ascii="Liberation Sans" w:hAnsi="Liberation Sans" w:eastAsia="Liberation Sans"/>
          <w:i w:val="0"/>
        </w:rPr>
        <w:t>The mature corpus defines the substrate as a relation algebra and event calculus. The geometric vocabulary supplies local supports, phase sheets, boundaries and routing. The information architecture supplies typed state, compatibility, lineage and novelty. The implementation supplies direct query and measured event execution.</w:t>
      </w:r>
    </w:p>
    <w:p>
      <w:pPr>
        <w:pStyle w:val="Heading2"/>
      </w:pPr>
      <w:r>
        <w:t>3.1 State model</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0368"/>
      </w:tblGrid>
      <w:tr>
        <w:tc>
          <w:tcPr>
            <w:tcW w:type="dxa" w:w="10368"/>
            <w:shd w:fill="F5F7FA"/>
            <w:tcMar>
              <w:top w:w="100" w:type="dxa"/>
              <w:start w:w="120" w:type="dxa"/>
              <w:bottom w:w="100" w:type="dxa"/>
              <w:end w:w="120" w:type="dxa"/>
            </w:tcMar>
          </w:tcPr>
          <w:p>
            <w:pPr>
              <w:spacing w:after="0" w:line="240" w:lineRule="auto"/>
            </w:pPr>
            <w:r/>
            <w:r>
              <w:rPr>
                <w:rFonts w:ascii="Liberation Mono" w:hAnsi="Liberation Mono" w:eastAsia="Liberation Mono"/>
                <w:color w:val="1F2937"/>
                <w:sz w:val="16"/>
              </w:rPr>
              <w:t>q = (position, time, phase, sheet, orientation,</w:t>
            </w:r>
            <w:r>
              <w:br/>
            </w:r>
            <w:r>
              <w:rPr>
                <w:rFonts w:ascii="Liberation Mono" w:hAnsi="Liberation Mono" w:eastAsia="Liberation Mono"/>
                <w:color w:val="1F2937"/>
                <w:sz w:val="16"/>
              </w:rPr>
              <w:t xml:space="preserve">     generative_address, branch, policy, uncertainty)</w:t>
            </w:r>
          </w:p>
        </w:tc>
      </w:tr>
    </w:tbl>
    <w:p>
      <w:pPr>
        <w:spacing w:after="0"/>
      </w:pPr>
    </w:p>
    <w:p>
      <w:pPr>
        <w:spacing w:after="120" w:line="259" w:lineRule="auto"/>
      </w:pPr>
      <w:r>
        <w:rPr>
          <w:rFonts w:ascii="Liberation Sans" w:hAnsi="Liberation Sans" w:eastAsia="Liberation Sans"/>
          <w:i w:val="0"/>
        </w:rPr>
        <w:t>The bundled hot-state profiles implement the subset needed for radial-angular support, topology/mode compatibility, a spherical relation guard, confidence filtering and lineage hashing. The full generative address and irreducible event log remain outside the compact hot record.</w:t>
      </w:r>
    </w:p>
    <w:p>
      <w:pPr>
        <w:pStyle w:val="Heading2"/>
      </w:pPr>
      <w:r>
        <w:t>3.2 Query kernel</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0368"/>
      </w:tblGrid>
      <w:tr>
        <w:tc>
          <w:tcPr>
            <w:tcW w:type="dxa" w:w="10368"/>
            <w:shd w:fill="F5F7FA"/>
            <w:tcMar>
              <w:top w:w="100" w:type="dxa"/>
              <w:start w:w="120" w:type="dxa"/>
              <w:bottom w:w="100" w:type="dxa"/>
              <w:end w:w="120" w:type="dxa"/>
            </w:tcMar>
          </w:tcPr>
          <w:p>
            <w:pPr>
              <w:spacing w:after="0" w:line="240" w:lineRule="auto"/>
            </w:pPr>
            <w:r/>
            <w:r>
              <w:rPr>
                <w:rFonts w:ascii="Liberation Mono" w:hAnsi="Liberation Mono" w:eastAsia="Liberation Mono"/>
                <w:color w:val="1F2937"/>
                <w:sz w:val="16"/>
              </w:rPr>
              <w:t>r = length(position)</w:t>
            </w:r>
            <w:r>
              <w:br/>
            </w:r>
            <w:r>
              <w:rPr>
                <w:rFonts w:ascii="Liberation Mono" w:hAnsi="Liberation Mono" w:eastAsia="Liberation Mono"/>
                <w:color w:val="1F2937"/>
                <w:sz w:val="16"/>
              </w:rPr>
              <w:t>cos_to_axis = dot(position/r, normalize(axis))</w:t>
            </w:r>
            <w:r>
              <w:br/>
            </w:r>
            <w:r>
              <w:rPr>
                <w:rFonts w:ascii="Liberation Mono" w:hAnsi="Liberation Mono" w:eastAsia="Liberation Mono"/>
                <w:color w:val="1F2937"/>
                <w:sz w:val="16"/>
              </w:rPr>
              <w:t>in_support = (r &lt;= radius) and (cos_to_axis &gt;= cone_cos)</w:t>
            </w:r>
            <w:r>
              <w:br/>
            </w:r>
            <w:r>
              <w:rPr>
                <w:rFonts w:ascii="Liberation Mono" w:hAnsi="Liberation Mono" w:eastAsia="Liberation Mono"/>
                <w:color w:val="1F2937"/>
                <w:sz w:val="16"/>
              </w:rPr>
              <w:t>compatible = mode_bit and sheet match and orientation match</w:t>
            </w:r>
            <w:r>
              <w:br/>
            </w:r>
            <w:r>
              <w:rPr>
                <w:rFonts w:ascii="Liberation Mono" w:hAnsi="Liberation Mono" w:eastAsia="Liberation Mono"/>
                <w:color w:val="1F2937"/>
                <w:sz w:val="16"/>
              </w:rPr>
              <w:t>sdf = r - radius</w:t>
            </w:r>
            <w:r>
              <w:br/>
            </w:r>
            <w:r>
              <w:rPr>
                <w:rFonts w:ascii="Liberation Mono" w:hAnsi="Liberation Mono" w:eastAsia="Liberation Mono"/>
                <w:color w:val="1F2937"/>
                <w:sz w:val="16"/>
              </w:rPr>
              <w:t>guard = abs(sdf) - epsilon</w:t>
            </w:r>
            <w:r>
              <w:br/>
            </w:r>
            <w:r>
              <w:rPr>
                <w:rFonts w:ascii="Liberation Mono" w:hAnsi="Liberation Mono" w:eastAsia="Liberation Mono"/>
                <w:color w:val="1F2937"/>
                <w:sz w:val="16"/>
              </w:rPr>
              <w:t>confidence = 2^(-32*abs(sdf))</w:t>
            </w:r>
            <w:r>
              <w:br/>
            </w:r>
            <w:r>
              <w:rPr>
                <w:rFonts w:ascii="Liberation Mono" w:hAnsi="Liberation Mono" w:eastAsia="Liberation Mono"/>
                <w:color w:val="1F2937"/>
                <w:sz w:val="16"/>
              </w:rPr>
              <w:t>verified = in_support and compatible and guard&lt;=0 and confidence&gt;=floor</w:t>
            </w:r>
          </w:p>
        </w:tc>
      </w:tr>
    </w:tbl>
    <w:p>
      <w:pPr>
        <w:spacing w:after="0"/>
      </w:pPr>
    </w:p>
    <w:p>
      <w:pPr>
        <w:spacing w:after="120" w:line="259" w:lineRule="auto"/>
      </w:pPr>
      <w:r>
        <w:rPr>
          <w:rFonts w:ascii="Liberation Sans" w:hAnsi="Liberation Sans" w:eastAsia="Liberation Sans"/>
          <w:i w:val="0"/>
        </w:rPr>
        <w:t>The confidence expression is a deterministic benchmark law. It is not claimed as a universal probability model. Physical devices replace it with calibrated confidence or signal-to-noise semantics.</w:t>
      </w:r>
    </w:p>
    <w:p>
      <w:pPr>
        <w:pStyle w:val="Heading2"/>
      </w:pPr>
      <w:r>
        <w:t>3.3 Topological operators</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187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Corpus structure</w:t>
            </w:r>
          </w:p>
        </w:tc>
        <w:tc>
          <w:tcPr>
            <w:tcW w:type="dxa" w:w="446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Normalized operator</w:t>
            </w:r>
          </w:p>
        </w:tc>
        <w:tc>
          <w:tcPr>
            <w:tcW w:type="dxa" w:w="460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Technical consequence</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Double vacuum</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Co-located but incompatible phase/sheet/address sectors.</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Position equality does not imply coupling.</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Möbius/Klein motif</w:t>
            </w:r>
          </w:p>
        </w:tc>
        <w:tc>
          <w:tcPr>
            <w:tcW w:type="dxa" w:w="44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Explicit quotient/gluing map with orientation reversal.</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Topology is a routing rule, not material magic.</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Four-chamber hourglass</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Four-way routing partition with a central event locus.</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Transition table selects a chamber/branch at a guard crossing.</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Parity hinge</w:t>
            </w:r>
          </w:p>
        </w:tc>
        <w:tc>
          <w:tcPr>
            <w:tcW w:type="dxa" w:w="44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One-bit route/template selector between declared topologies.</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Bit has a narrow role; continuous state and lineage remain separate.</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SDF = 0</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Event surface with a finite guard band and numerical policy.</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Boundary crossing invokes event semantics rather than endless sampling.</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Cone/sphere/shell</w:t>
            </w:r>
          </w:p>
        </w:tc>
        <w:tc>
          <w:tcPr>
            <w:tcW w:type="dxa" w:w="44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Local support and domain-of-dependence operator.</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Analytic pruning precedes relation solving.</w:t>
            </w:r>
          </w:p>
        </w:tc>
      </w:tr>
    </w:tbl>
    <w:p>
      <w:pPr>
        <w:spacing w:after="0"/>
      </w:pPr>
    </w:p>
    <w:p>
      <w:pPr>
        <w:pStyle w:val="Heading2"/>
      </w:pPr>
      <w:r>
        <w:t>3.4 Identity and persistence</w:t>
      </w:r>
    </w:p>
    <w:p>
      <w:pPr>
        <w:spacing w:after="120" w:line="259" w:lineRule="auto"/>
      </w:pPr>
      <w:r>
        <w:rPr>
          <w:rFonts w:ascii="Liberation Sans" w:hAnsi="Liberation Sans" w:eastAsia="Liberation Sans"/>
          <w:i w:val="0"/>
        </w:rPr>
        <w:t>Coordinates are not identity. Persistent identity uses a generative address, invariant history and ordered novelty events. Closed dynamics may be recomputed from seed and grammar; exogenous events must be stored. This is the basis for the package memory models and the distinction between dense state, compact novelty and event-log-only retention.</w:t>
      </w:r>
    </w:p>
    <w:p>
      <w:pPr>
        <w:pStyle w:val="Heading1"/>
      </w:pPr>
      <w:r>
        <w:t>4. Addendum: glyph, timeline and threshold structures</w:t>
      </w:r>
    </w:p>
    <w:p>
      <w:pPr>
        <w:spacing w:after="60"/>
        <w:jc w:val="center"/>
      </w:pPr>
      <w:r>
        <w:drawing>
          <wp:inline xmlns:a="http://schemas.openxmlformats.org/drawingml/2006/main" xmlns:pic="http://schemas.openxmlformats.org/drawingml/2006/picture">
            <wp:extent cx="6309360" cy="432148"/>
            <wp:docPr id="3" name="Picture 3"/>
            <wp:cNvGraphicFramePr>
              <a:graphicFrameLocks noChangeAspect="1"/>
            </wp:cNvGraphicFramePr>
            <a:graphic>
              <a:graphicData uri="http://schemas.openxmlformats.org/drawingml/2006/picture">
                <pic:pic>
                  <pic:nvPicPr>
                    <pic:cNvPr id="0" name="addendum_pipeline.png"/>
                    <pic:cNvPicPr/>
                  </pic:nvPicPr>
                  <pic:blipFill>
                    <a:blip r:embed="rId14"/>
                    <a:stretch>
                      <a:fillRect/>
                    </a:stretch>
                  </pic:blipFill>
                  <pic:spPr>
                    <a:xfrm>
                      <a:off x="0" y="0"/>
                      <a:ext cx="6309360" cy="432148"/>
                    </a:xfrm>
                    <a:prstGeom prst="rect"/>
                  </pic:spPr>
                </pic:pic>
              </a:graphicData>
            </a:graphic>
          </wp:inline>
        </w:drawing>
      </w:r>
    </w:p>
    <w:p>
      <w:pPr>
        <w:spacing w:after="160"/>
        <w:jc w:val="center"/>
      </w:pPr>
      <w:r>
        <w:rPr>
          <w:rFonts w:ascii="Liberation Sans" w:hAnsi="Liberation Sans"/>
          <w:i/>
          <w:color w:val="64748B"/>
          <w:sz w:val="16"/>
        </w:rPr>
        <w:t>Figure 2. The new source is admitted as an explicit encoder and threshold-control family, not as ordinary arithmetic or free-energy physics.</w:t>
      </w:r>
    </w:p>
    <w:p>
      <w:pPr>
        <w:pStyle w:val="Heading2"/>
      </w:pPr>
      <w:r>
        <w:t>4.1 Standard and custom semantics</w:t>
      </w:r>
    </w:p>
    <w:tbl>
      <w:tblPr>
        <w:tblW w:type="auto" w:w="0"/>
        <w:jc w:val="center"/>
        <w:tblLayout w:type="fixed"/>
        <w:tblLook w:firstColumn="1" w:firstRow="1" w:lastColumn="0" w:lastRow="0" w:noHBand="0" w:noVBand="1" w:val="04A0"/>
        <w:tblBorders>
          <w:top w:val="single" w:sz="6" w:space="0" w:color="B4534B"/>
          <w:left w:val="single" w:sz="6" w:space="0" w:color="B4534B"/>
          <w:bottom w:val="single" w:sz="6" w:space="0" w:color="B4534B"/>
          <w:right w:val="single" w:sz="6" w:space="0" w:color="B4534B"/>
          <w:insideH w:val="single" w:sz="6" w:space="0" w:color="B4534B"/>
          <w:insideV w:val="single" w:sz="6" w:space="0" w:color="B4534B"/>
        </w:tblBorders>
      </w:tblPr>
      <w:tblGrid>
        <w:gridCol w:w="10368"/>
      </w:tblGrid>
      <w:tr>
        <w:tc>
          <w:tcPr>
            <w:tcW w:type="dxa" w:w="10368"/>
            <w:shd w:fill="FCEDEA"/>
            <w:tcMar>
              <w:top w:w="110" w:type="dxa"/>
              <w:start w:w="140" w:type="dxa"/>
              <w:bottom w:w="110" w:type="dxa"/>
              <w:end w:w="140" w:type="dxa"/>
            </w:tcMar>
          </w:tcPr>
          <w:p>
            <w:pPr>
              <w:spacing w:after="40"/>
            </w:pPr>
            <w:r/>
            <w:r>
              <w:rPr>
                <w:rFonts w:ascii="Liberation Sans" w:hAnsi="Liberation Sans"/>
                <w:b/>
                <w:color w:val="B4534B"/>
                <w:sz w:val="16"/>
              </w:rPr>
              <w:t>NON-NEGOTIABLE DISTINCTION</w:t>
            </w:r>
          </w:p>
          <w:p>
            <w:pPr>
              <w:spacing w:after="0" w:line="252" w:lineRule="auto"/>
            </w:pPr>
            <w:r>
              <w:rPr>
                <w:rFonts w:ascii="Liberation Sans" w:hAnsi="Liberation Sans"/>
                <w:color w:val="1F2937"/>
                <w:sz w:val="18"/>
              </w:rPr>
              <w:t>In ordinary mathematics, 100% = 1. The value 36 appears only after selecting a custom source-defined glyph encoder. The schema records the encoder variant so the transform can never masquerade as ordinary percentage arithmetic. [S01 pp. 7-9]</w:t>
            </w:r>
          </w:p>
        </w:tc>
      </w:tr>
    </w:tbl>
    <w:p>
      <w:pPr>
        <w:spacing w:after="0"/>
      </w:pP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592"/>
        <w:gridCol w:w="2592"/>
        <w:gridCol w:w="2592"/>
        <w:gridCol w:w="2592"/>
      </w:tblGrid>
      <w:tr>
        <w:trPr>
          <w:tblHeader w:val="true"/>
        </w:trPr>
        <w:tc>
          <w:tcPr>
            <w:tcW w:type="dxa" w:w="259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Encoder</w:t>
            </w:r>
          </w:p>
        </w:tc>
        <w:tc>
          <w:tcPr>
            <w:tcW w:type="dxa" w:w="2015"/>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Bit sequence</w:t>
            </w:r>
          </w:p>
        </w:tc>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Decimal</w:t>
            </w:r>
          </w:p>
        </w:tc>
        <w:tc>
          <w:tcPr>
            <w:tcW w:type="dxa" w:w="417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Status</w:t>
            </w:r>
          </w:p>
        </w:tc>
      </w:tr>
      <w:tr>
        <w:trPr>
          <w:cantSplit/>
        </w:trPr>
        <w:tc>
          <w:tcPr>
            <w:tcW w:type="dxa" w:w="25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standard</w:t>
            </w:r>
          </w:p>
        </w:tc>
        <w:tc>
          <w:tcPr>
            <w:tcW w:type="dxa" w:w="201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w:t>
            </w:r>
          </w:p>
        </w:tc>
        <w:tc>
          <w:tcPr>
            <w:tcW w:type="dxa" w:w="417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Ordinary arithmetic</w:t>
            </w:r>
          </w:p>
        </w:tc>
      </w:tr>
      <w:tr>
        <w:trPr>
          <w:cantSplit/>
        </w:trPr>
        <w:tc>
          <w:tcPr>
            <w:tcW w:type="dxa" w:w="25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glyph-100101-v0</w:t>
            </w:r>
          </w:p>
        </w:tc>
        <w:tc>
          <w:tcPr>
            <w:tcW w:type="dxa" w:w="201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100101</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37</w:t>
            </w:r>
          </w:p>
        </w:tc>
        <w:tc>
          <w:tcPr>
            <w:tcW w:type="dxa" w:w="417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Earlier source variant</w:t>
            </w:r>
          </w:p>
        </w:tc>
      </w:tr>
      <w:tr>
        <w:trPr>
          <w:cantSplit/>
        </w:trPr>
        <w:tc>
          <w:tcPr>
            <w:tcW w:type="dxa" w:w="25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glyph-100100-v1</w:t>
            </w:r>
          </w:p>
        </w:tc>
        <w:tc>
          <w:tcPr>
            <w:tcW w:type="dxa" w:w="201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100100</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36</w:t>
            </w:r>
          </w:p>
        </w:tc>
        <w:tc>
          <w:tcPr>
            <w:tcW w:type="dxa" w:w="417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Canonical addendum variant</w:t>
            </w:r>
          </w:p>
        </w:tc>
      </w:tr>
    </w:tbl>
    <w:p>
      <w:pPr>
        <w:spacing w:after="0"/>
      </w:pP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0368"/>
      </w:tblGrid>
      <w:tr>
        <w:tc>
          <w:tcPr>
            <w:tcW w:type="dxa" w:w="10368"/>
            <w:shd w:fill="F5F7FA"/>
            <w:tcMar>
              <w:top w:w="100" w:type="dxa"/>
              <w:start w:w="120" w:type="dxa"/>
              <w:bottom w:w="100" w:type="dxa"/>
              <w:end w:w="120" w:type="dxa"/>
            </w:tcMar>
          </w:tcPr>
          <w:p>
            <w:pPr>
              <w:spacing w:after="0" w:line="240" w:lineRule="auto"/>
            </w:pPr>
            <w:r/>
            <w:r>
              <w:rPr>
                <w:rFonts w:ascii="Liberation Mono" w:hAnsi="Liberation Mono" w:eastAsia="Liberation Mono"/>
                <w:color w:val="1F2937"/>
                <w:sz w:val="16"/>
              </w:rPr>
              <w:t>glyph-100100-v1:</w:t>
            </w:r>
            <w:r>
              <w:br/>
            </w:r>
            <w:r>
              <w:rPr>
                <w:rFonts w:ascii="Liberation Mono" w:hAnsi="Liberation Mono" w:eastAsia="Liberation Mono"/>
                <w:color w:val="1F2937"/>
                <w:sz w:val="16"/>
              </w:rPr>
              <w:t>(1 &lt;&lt; 5) | (1 &lt;&lt; 2) = 32 + 4 = 36</w:t>
            </w:r>
          </w:p>
        </w:tc>
      </w:tr>
    </w:tbl>
    <w:p>
      <w:pPr>
        <w:spacing w:after="0"/>
      </w:pPr>
    </w:p>
    <w:p>
      <w:pPr>
        <w:pStyle w:val="Heading2"/>
      </w:pPr>
      <w:r>
        <w:t>4.2 Two-pulse address/timeline</w:t>
      </w:r>
    </w:p>
    <w:p>
      <w:pPr>
        <w:spacing w:after="120" w:line="259" w:lineRule="auto"/>
      </w:pPr>
      <w:r>
        <w:rPr>
          <w:rFonts w:ascii="Liberation Sans" w:hAnsi="Liberation Sans" w:eastAsia="Liberation Sans"/>
          <w:i w:val="0"/>
        </w:rPr>
        <w:t>The sequence 100100 contains two identical 100 groups. The addendum treats them as two pulses at bit positions 5 and 2. Technically, this is a sparse bitset or two-event address pattern. The separation is three bit positions; it does not imply physical time unless a clock and unit are declared. [S01 pp. 8-10]</w:t>
      </w:r>
    </w:p>
    <w:p>
      <w:pPr>
        <w:pStyle w:val="Heading2"/>
      </w:pPr>
      <w:r>
        <w:t>4.3 Pythagorean and angular geometry</w:t>
      </w:r>
    </w:p>
    <w:p>
      <w:pPr>
        <w:spacing w:after="120" w:line="259" w:lineRule="auto"/>
      </w:pPr>
      <w:r>
        <w:rPr>
          <w:rFonts w:ascii="Liberation Sans" w:hAnsi="Liberation Sans" w:eastAsia="Liberation Sans"/>
          <w:i w:val="0"/>
        </w:rPr>
        <w:t>The source uses the scaled 5-12-13 triangle (1.5, 3.6, 3.9). The leg ratio is 3.6/1.5 = 2.4, giving an angle atan(2.4) approximately 67.38 degrees. The package retains this as a parameterized cone-angle example, not a universal constant.</w:t>
      </w:r>
    </w:p>
    <w:p>
      <w:pPr>
        <w:pStyle w:val="Heading2"/>
      </w:pPr>
      <w:r>
        <w:t>4.4 Fractional shifts and de-phiming correction</w:t>
      </w:r>
    </w:p>
    <w:p>
      <w:pPr>
        <w:spacing w:after="120" w:line="259" w:lineRule="auto"/>
      </w:pPr>
      <w:r>
        <w:rPr>
          <w:rFonts w:ascii="Liberation Sans" w:hAnsi="Liberation Sans" w:eastAsia="Liberation Sans"/>
          <w:i w:val="0"/>
        </w:rPr>
        <w:t>Multiplication by 1.5 is not an integer left shift. In a base-2 logarithmic coordinate it is an additive displacement log2(1.5) = 0.5849625007. The source value 0.680 bits -&gt; 202.74 J is dimensionally unsupported and is rejected. An engineering conversion from erased bits to a minimum heat requires a physical temperature and process; even then the Landauer result is a lower bound, not actual device energy.</w:t>
      </w:r>
    </w:p>
    <w:p>
      <w:pPr>
        <w:pStyle w:val="Heading2"/>
      </w:pPr>
      <w:r>
        <w:t>4.5 Trident and Pythagorean cup</w:t>
      </w:r>
    </w:p>
    <w:p>
      <w:pPr>
        <w:spacing w:after="120" w:line="259" w:lineRule="auto"/>
      </w:pPr>
      <w:r>
        <w:rPr>
          <w:rFonts w:ascii="Liberation Sans" w:hAnsi="Liberation Sans" w:eastAsia="Liberation Sans"/>
          <w:i w:val="0"/>
        </w:rPr>
        <w:t>The trident/pinion and Pythagorean-cup material is technically useful when normalized as a three-to-one threshold/reset system: three channels converge, an accumulator rises, a crest crossing latches an event, the state resets or drains, and hysteresis prevents chatter. [S01 pp. 27-29]</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0368"/>
      </w:tblGrid>
      <w:tr>
        <w:tc>
          <w:tcPr>
            <w:tcW w:type="dxa" w:w="10368"/>
            <w:shd w:fill="F5F7FA"/>
            <w:tcMar>
              <w:top w:w="100" w:type="dxa"/>
              <w:start w:w="120" w:type="dxa"/>
              <w:bottom w:w="100" w:type="dxa"/>
              <w:end w:w="120" w:type="dxa"/>
            </w:tcMar>
          </w:tcPr>
          <w:p>
            <w:pPr>
              <w:spacing w:after="0" w:line="240" w:lineRule="auto"/>
            </w:pPr>
            <w:r/>
            <w:r>
              <w:rPr>
                <w:rFonts w:ascii="Liberation Mono" w:hAnsi="Liberation Mono" w:eastAsia="Liberation Mono"/>
                <w:color w:val="1F2937"/>
                <w:sz w:val="16"/>
              </w:rPr>
              <w:t>IDLE -&gt; ACCUMULATE -&gt; THRESHOLD_CROSS -&gt; EVENT_LATCH</w:t>
            </w:r>
            <w:r>
              <w:br/>
            </w:r>
            <w:r>
              <w:rPr>
                <w:rFonts w:ascii="Liberation Mono" w:hAnsi="Liberation Mono" w:eastAsia="Liberation Mono"/>
                <w:color w:val="1F2937"/>
                <w:sz w:val="16"/>
              </w:rPr>
              <w:t xml:space="preserve">     -&gt; RESET/DRAIN -&gt; HYSTERESIS_CLEAR -&gt; IDLE</w:t>
            </w:r>
          </w:p>
        </w:tc>
      </w:tr>
    </w:tbl>
    <w:p>
      <w:pPr>
        <w:spacing w:after="0"/>
      </w:pPr>
    </w:p>
    <w:tbl>
      <w:tblPr>
        <w:tblW w:type="auto" w:w="0"/>
        <w:jc w:val="center"/>
        <w:tblLayout w:type="fixed"/>
        <w:tblLook w:firstColumn="1" w:firstRow="1" w:lastColumn="0" w:lastRow="0" w:noHBand="0" w:noVBand="1" w:val="04A0"/>
        <w:tblBorders>
          <w:top w:val="single" w:sz="6" w:space="0" w:color="B4534B"/>
          <w:left w:val="single" w:sz="6" w:space="0" w:color="B4534B"/>
          <w:bottom w:val="single" w:sz="6" w:space="0" w:color="B4534B"/>
          <w:right w:val="single" w:sz="6" w:space="0" w:color="B4534B"/>
          <w:insideH w:val="single" w:sz="6" w:space="0" w:color="B4534B"/>
          <w:insideV w:val="single" w:sz="6" w:space="0" w:color="B4534B"/>
        </w:tblBorders>
      </w:tblPr>
      <w:tblGrid>
        <w:gridCol w:w="10368"/>
      </w:tblGrid>
      <w:tr>
        <w:tc>
          <w:tcPr>
            <w:tcW w:type="dxa" w:w="10368"/>
            <w:shd w:fill="FCEDEA"/>
            <w:tcMar>
              <w:top w:w="110" w:type="dxa"/>
              <w:start w:w="140" w:type="dxa"/>
              <w:bottom w:w="110" w:type="dxa"/>
              <w:end w:w="140" w:type="dxa"/>
            </w:tcMar>
          </w:tcPr>
          <w:p>
            <w:pPr>
              <w:spacing w:after="40"/>
            </w:pPr>
            <w:r/>
            <w:r>
              <w:rPr>
                <w:rFonts w:ascii="Liberation Sans" w:hAnsi="Liberation Sans"/>
                <w:b/>
                <w:color w:val="B4534B"/>
                <w:sz w:val="16"/>
              </w:rPr>
              <w:t>PHYSICAL BOUNDARY</w:t>
            </w:r>
          </w:p>
          <w:p>
            <w:pPr>
              <w:spacing w:after="0" w:line="252" w:lineRule="auto"/>
            </w:pPr>
            <w:r>
              <w:rPr>
                <w:rFonts w:ascii="Liberation Sans" w:hAnsi="Liberation Sans"/>
                <w:color w:val="1F2937"/>
                <w:sz w:val="18"/>
              </w:rPr>
              <w:t>A Pythagorean cup is a siphon driven by gravity and pressure. It does not create an absolute vacuum, destroy information, recycle energy without loss or supply a self-sustaining topological loop.</w:t>
            </w:r>
          </w:p>
        </w:tc>
      </w:tr>
    </w:tbl>
    <w:p>
      <w:pPr>
        <w:spacing w:after="0"/>
      </w:pPr>
    </w:p>
    <w:p>
      <w:pPr>
        <w:pStyle w:val="Heading1"/>
      </w:pPr>
      <w:r>
        <w:t>5. Unified mechanism taxonomy</w:t>
      </w:r>
    </w:p>
    <w:p>
      <w:pPr>
        <w:spacing w:after="120" w:line="259" w:lineRule="auto"/>
      </w:pPr>
      <w:r>
        <w:rPr>
          <w:rFonts w:ascii="Liberation Sans" w:hAnsi="Liberation Sans" w:eastAsia="Liberation Sans"/>
          <w:i w:val="0"/>
        </w:rPr>
        <w:t>The complete catalog contains 197 atomic mechanisms. The entries are deliberately small: each mechanism is one reusable numeric, geometric, topological, event, memory, GPU or hardware operator. The appendix gives the complete source-by-source traceability.</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208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Domain</w:t>
            </w:r>
          </w:p>
        </w:tc>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Count</w:t>
            </w:r>
          </w:p>
        </w:tc>
        <w:tc>
          <w:tcPr>
            <w:tcW w:type="dxa" w:w="7343"/>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Representative mechanisms</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GPU-native</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23</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GLSL-to-SPIR-V compilation, Direct Vulkan compute runtime, Descriptor ABI, 256-thread workgroup, G64 authoritative state record, E32 full ev...</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Physical hardware</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23</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Liquid overclad, Liquid-core guide, Input liquid lens, Solid photonic substrate, 2×2 interferometric kernel, Balanced detection, Spherical-t...</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Topology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16</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Möbius orientation reversal, Klein gluing map, Same coordinate, different sheet, Non-orientable orientation bit, Projected self-intersection...</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Audit</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14</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100% does not ordinarily equal 36, 100101 versus 100100 inconsistency, Information entropy is not automatically heat, Absolute single vacuum...</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Numeric/encoding</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13</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Radix digit threshold, Positional power weighting, Literal binary glyph parse, Left-shift pulse placement, Zero-based offset/ordinal distinc...</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Projection</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13</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Cartesian-to-log-polar mapping, One-bit sector activation, Phasor coverage accumulation, Subpixel gradient alignment, Pulse-density modulati...</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Kinematics</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10</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Stem as cutting/rotation axis, Side-view pyramid as delta triangle, Delta-T changing axis, Loop-to-line release, Localized parity hinge, Spl...</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Event calculus</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9</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Relation surface, Support predicate, Compatibility predicate, Earliest valid event, Transition operator, Finite guard band, Confidence thres...</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Glyph encoder</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7</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Standard percent semantics boundary, Percent loop decomposition, Slash/phi removal operator, Open-loop terminal suppression, 100100 concaten...</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Field algebra</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6</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SDF zero as event boundary, CSG union, CSG intersection, CSG subtraction, SDF gradient orientation, Parity-conditioned field blend...</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Routing geometry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5</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Four-chamber hourglass, Pinch event locus, Invariant eigen-axis, Swept phase arc, Trident 3-to-1 convergence...</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Query architecture</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5</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state_at(t), next_event, events_in_cone, reachable relation query, identity reconstruction...</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Numeric/fractal</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4</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Pascal parity recurrence, Sierpiński generation, Combination count C(5,3), Power-of-two scale boundary...</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Glyph geometry</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4</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D-to-R cut and unroll, B-to-R lower-loop unfurl, Phi loop-plus-stem decomposition, Inward G/shelf transform...</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Overlap geometry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4</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Lens intersection region, Constructive interference interpretation, Tolerance/phase-slip buffer, Mutual-information domain...</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Information architecture</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4</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Finite grammar, L-system production, Projective-phase state manifold, Typed state tuple...</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Topology/control</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3</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One-bit parity narrow role, One-bit support mask, Deterministic jitter seed</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Field geometry</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3</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Global hinge everywhere, Cone SDF, Sphere SDF</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Metric geometry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3</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Scaled 5–12–13 triangle, Leg ratio 2.4, Torque-cone angle</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Persistence</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3</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External novelty log, Seed+grammar+log rebuild, Event lineage record</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Architecture</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3</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Query-first, no mandatory frame loop, Optional projection, Schema-bound one-bit semantics</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Coordinate geometry</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Base-2 log-radius, Local spherical chart</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Support geometry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Cone support, Nested shell support</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Fluid threshold</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Pythagorean-cup trigger, Greedy reset cycle</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Topology geometry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Lemniscate crossing, Escher-style shrink to crossing</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Identity</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Lineage-based identity, Split/merge lineage</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Pruning</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Support rejection, Compatibility rejection</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Numerics</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Certified/bracketed root solve, Tangency and degeneracy handling</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Indexing</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Log-polar LUT, BST-to-flat-table translation</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Risk</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Algebraic closure, Event/branch explosion</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Complexity</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Horizon-independent closed expression</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Memory</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Novelty-proportional retention</w:t>
            </w:r>
          </w:p>
        </w:tc>
      </w:tr>
      <w:tr>
        <w:trPr>
          <w:cantSplit/>
        </w:trPr>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Networking</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w:t>
            </w:r>
          </w:p>
        </w:tc>
        <w:tc>
          <w:tcPr>
            <w:tcW w:type="dxa" w:w="734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Deterministic rollback/replay</w:t>
            </w:r>
          </w:p>
        </w:tc>
      </w:tr>
      <w:tr>
        <w:trPr>
          <w:cantSplit/>
        </w:trPr>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Governance</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w:t>
            </w:r>
          </w:p>
        </w:tc>
        <w:tc>
          <w:tcPr>
            <w:tcW w:type="dxa" w:w="734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Query authority and policy</w:t>
            </w:r>
          </w:p>
        </w:tc>
      </w:tr>
    </w:tbl>
    <w:p>
      <w:pPr>
        <w:spacing w:after="0"/>
      </w:pPr>
    </w:p>
    <w:p>
      <w:pPr>
        <w:pStyle w:val="Heading2"/>
      </w:pPr>
      <w:r>
        <w:t>5.1 Numeric, encoding and fractal layer</w:t>
      </w:r>
    </w:p>
    <w:p>
      <w:pPr>
        <w:pStyle w:val="ListBullet"/>
        <w:spacing w:after="60" w:line="252" w:lineRule="auto"/>
      </w:pPr>
      <w:r>
        <w:rPr>
          <w:rFonts w:ascii="Liberation Sans" w:hAnsi="Liberation Sans" w:eastAsia="Liberation Sans"/>
        </w:rPr>
        <w:t>Radix thresholds and positional weights.</w:t>
      </w:r>
    </w:p>
    <w:p>
      <w:pPr>
        <w:pStyle w:val="ListBullet"/>
        <w:spacing w:after="60" w:line="252" w:lineRule="auto"/>
      </w:pPr>
      <w:r>
        <w:rPr>
          <w:rFonts w:ascii="Liberation Sans" w:hAnsi="Liberation Sans" w:eastAsia="Liberation Sans"/>
        </w:rPr>
        <w:t>Explicit parser modes for literal binary glyphs.</w:t>
      </w:r>
    </w:p>
    <w:p>
      <w:pPr>
        <w:pStyle w:val="ListBullet"/>
        <w:spacing w:after="60" w:line="252" w:lineRule="auto"/>
      </w:pPr>
      <w:r>
        <w:rPr>
          <w:rFonts w:ascii="Liberation Sans" w:hAnsi="Liberation Sans" w:eastAsia="Liberation Sans"/>
        </w:rPr>
        <w:t>Sparse pulse placement with shifts and bitsets.</w:t>
      </w:r>
    </w:p>
    <w:p>
      <w:pPr>
        <w:pStyle w:val="ListBullet"/>
        <w:spacing w:after="60" w:line="252" w:lineRule="auto"/>
      </w:pPr>
      <w:r>
        <w:rPr>
          <w:rFonts w:ascii="Liberation Sans" w:hAnsi="Liberation Sans" w:eastAsia="Liberation Sans"/>
        </w:rPr>
        <w:t>Hamming weight and active-bit metadata.</w:t>
      </w:r>
    </w:p>
    <w:p>
      <w:pPr>
        <w:pStyle w:val="ListBullet"/>
        <w:spacing w:after="60" w:line="252" w:lineRule="auto"/>
      </w:pPr>
      <w:r>
        <w:rPr>
          <w:rFonts w:ascii="Liberation Sans" w:hAnsi="Liberation Sans" w:eastAsia="Liberation Sans"/>
        </w:rPr>
        <w:t>Pascal parity and Sierpinski generation through exact bit tests.</w:t>
      </w:r>
    </w:p>
    <w:p>
      <w:pPr>
        <w:pStyle w:val="ListBullet"/>
        <w:spacing w:after="60" w:line="252" w:lineRule="auto"/>
      </w:pPr>
      <w:r>
        <w:rPr>
          <w:rFonts w:ascii="Liberation Sans" w:hAnsi="Liberation Sans" w:eastAsia="Liberation Sans"/>
        </w:rPr>
        <w:t>Log-base-2 address displacement and quantization contracts.</w:t>
      </w:r>
    </w:p>
    <w:p>
      <w:pPr>
        <w:pStyle w:val="Heading2"/>
      </w:pPr>
      <w:r>
        <w:t>5.2 Geometry and field layer</w:t>
      </w:r>
    </w:p>
    <w:p>
      <w:pPr>
        <w:pStyle w:val="ListBullet"/>
        <w:spacing w:after="60" w:line="252" w:lineRule="auto"/>
      </w:pPr>
      <w:r>
        <w:rPr>
          <w:rFonts w:ascii="Liberation Sans" w:hAnsi="Liberation Sans" w:eastAsia="Liberation Sans"/>
        </w:rPr>
        <w:t>D/B/phi cut-and-unroll morphology.</w:t>
      </w:r>
    </w:p>
    <w:p>
      <w:pPr>
        <w:pStyle w:val="ListBullet"/>
        <w:spacing w:after="60" w:line="252" w:lineRule="auto"/>
      </w:pPr>
      <w:r>
        <w:rPr>
          <w:rFonts w:ascii="Liberation Sans" w:hAnsi="Liberation Sans" w:eastAsia="Liberation Sans"/>
        </w:rPr>
        <w:t>Torque-axis deformation and split-oval waves.</w:t>
      </w:r>
    </w:p>
    <w:p>
      <w:pPr>
        <w:pStyle w:val="ListBullet"/>
        <w:spacing w:after="60" w:line="252" w:lineRule="auto"/>
      </w:pPr>
      <w:r>
        <w:rPr>
          <w:rFonts w:ascii="Liberation Sans" w:hAnsi="Liberation Sans" w:eastAsia="Liberation Sans"/>
        </w:rPr>
        <w:t>Overlap lenses as intersection, tolerance or interference regions.</w:t>
      </w:r>
    </w:p>
    <w:p>
      <w:pPr>
        <w:pStyle w:val="ListBullet"/>
        <w:spacing w:after="60" w:line="252" w:lineRule="auto"/>
      </w:pPr>
      <w:r>
        <w:rPr>
          <w:rFonts w:ascii="Liberation Sans" w:hAnsi="Liberation Sans" w:eastAsia="Liberation Sans"/>
        </w:rPr>
        <w:t>Cartesian, polar, log-polar and local spherical charts.</w:t>
      </w:r>
    </w:p>
    <w:p>
      <w:pPr>
        <w:pStyle w:val="ListBullet"/>
        <w:spacing w:after="60" w:line="252" w:lineRule="auto"/>
      </w:pPr>
      <w:r>
        <w:rPr>
          <w:rFonts w:ascii="Liberation Sans" w:hAnsi="Liberation Sans" w:eastAsia="Liberation Sans"/>
        </w:rPr>
        <w:t>SDF primitives, CSG, gradients, zero surfaces and guard bands.</w:t>
      </w:r>
    </w:p>
    <w:p>
      <w:pPr>
        <w:pStyle w:val="ListBullet"/>
        <w:spacing w:after="60" w:line="252" w:lineRule="auto"/>
      </w:pPr>
      <w:r>
        <w:rPr>
          <w:rFonts w:ascii="Liberation Sans" w:hAnsi="Liberation Sans" w:eastAsia="Liberation Sans"/>
        </w:rPr>
        <w:t>Analytic support cones, spheres, shells and local domains.</w:t>
      </w:r>
    </w:p>
    <w:p>
      <w:pPr>
        <w:pStyle w:val="Heading2"/>
      </w:pPr>
      <w:r>
        <w:t>5.3 Topology and event layer</w:t>
      </w:r>
    </w:p>
    <w:p>
      <w:pPr>
        <w:pStyle w:val="ListBullet"/>
        <w:spacing w:after="60" w:line="252" w:lineRule="auto"/>
      </w:pPr>
      <w:r>
        <w:rPr>
          <w:rFonts w:ascii="Liberation Sans" w:hAnsi="Liberation Sans" w:eastAsia="Liberation Sans"/>
        </w:rPr>
        <w:t>Parity-controlled template/routing selection.</w:t>
      </w:r>
    </w:p>
    <w:p>
      <w:pPr>
        <w:pStyle w:val="ListBullet"/>
        <w:spacing w:after="60" w:line="252" w:lineRule="auto"/>
      </w:pPr>
      <w:r>
        <w:rPr>
          <w:rFonts w:ascii="Liberation Sans" w:hAnsi="Liberation Sans" w:eastAsia="Liberation Sans"/>
        </w:rPr>
        <w:t>Phase sheets and co-located non-coupling sectors.</w:t>
      </w:r>
    </w:p>
    <w:p>
      <w:pPr>
        <w:pStyle w:val="ListBullet"/>
        <w:spacing w:after="60" w:line="252" w:lineRule="auto"/>
      </w:pPr>
      <w:r>
        <w:rPr>
          <w:rFonts w:ascii="Liberation Sans" w:hAnsi="Liberation Sans" w:eastAsia="Liberation Sans"/>
        </w:rPr>
        <w:t>Möbius/Klein quotient maps with explicit orientation and ports.</w:t>
      </w:r>
    </w:p>
    <w:p>
      <w:pPr>
        <w:pStyle w:val="ListBullet"/>
        <w:spacing w:after="60" w:line="252" w:lineRule="auto"/>
      </w:pPr>
      <w:r>
        <w:rPr>
          <w:rFonts w:ascii="Liberation Sans" w:hAnsi="Liberation Sans" w:eastAsia="Liberation Sans"/>
        </w:rPr>
        <w:t>Hourglass partitions and central rank/event loci.</w:t>
      </w:r>
    </w:p>
    <w:p>
      <w:pPr>
        <w:pStyle w:val="ListBullet"/>
        <w:spacing w:after="60" w:line="252" w:lineRule="auto"/>
      </w:pPr>
      <w:r>
        <w:rPr>
          <w:rFonts w:ascii="Liberation Sans" w:hAnsi="Liberation Sans" w:eastAsia="Liberation Sans"/>
        </w:rPr>
        <w:t>Earliest valid event solving under support and compatibility.</w:t>
      </w:r>
    </w:p>
    <w:p>
      <w:pPr>
        <w:pStyle w:val="ListBullet"/>
        <w:spacing w:after="60" w:line="252" w:lineRule="auto"/>
      </w:pPr>
      <w:r>
        <w:rPr>
          <w:rFonts w:ascii="Liberation Sans" w:hAnsi="Liberation Sans" w:eastAsia="Liberation Sans"/>
        </w:rPr>
        <w:t>Transition, route, lineage and invariant updates.</w:t>
      </w:r>
    </w:p>
    <w:p>
      <w:pPr>
        <w:pStyle w:val="Heading2"/>
      </w:pPr>
      <w:r>
        <w:t>5.4 GPU, memory and physical layer</w:t>
      </w:r>
    </w:p>
    <w:p>
      <w:pPr>
        <w:pStyle w:val="ListBullet"/>
        <w:spacing w:after="60" w:line="252" w:lineRule="auto"/>
      </w:pPr>
      <w:r>
        <w:rPr>
          <w:rFonts w:ascii="Liberation Sans" w:hAnsi="Liberation Sans" w:eastAsia="Liberation Sans"/>
        </w:rPr>
        <w:t>Typed hot-state ABI and packed records.</w:t>
      </w:r>
    </w:p>
    <w:p>
      <w:pPr>
        <w:pStyle w:val="ListBullet"/>
        <w:spacing w:after="60" w:line="252" w:lineRule="auto"/>
      </w:pPr>
      <w:r>
        <w:rPr>
          <w:rFonts w:ascii="Liberation Sans" w:hAnsi="Liberation Sans" w:eastAsia="Liberation Sans"/>
        </w:rPr>
        <w:t>SPIR-V compute modules and direct Vulkan pipelines.</w:t>
      </w:r>
    </w:p>
    <w:p>
      <w:pPr>
        <w:pStyle w:val="ListBullet"/>
        <w:spacing w:after="60" w:line="252" w:lineRule="auto"/>
      </w:pPr>
      <w:r>
        <w:rPr>
          <w:rFonts w:ascii="Liberation Sans" w:hAnsi="Liberation Sans" w:eastAsia="Liberation Sans"/>
        </w:rPr>
        <w:t>Dense diagnostic versus compact novelty paths.</w:t>
      </w:r>
    </w:p>
    <w:p>
      <w:pPr>
        <w:pStyle w:val="ListBullet"/>
        <w:spacing w:after="60" w:line="252" w:lineRule="auto"/>
      </w:pPr>
      <w:r>
        <w:rPr>
          <w:rFonts w:ascii="Liberation Sans" w:hAnsi="Liberation Sans" w:eastAsia="Liberation Sans"/>
        </w:rPr>
        <w:t>Device timestamps, cold/cached pipeline creation and validation.</w:t>
      </w:r>
    </w:p>
    <w:p>
      <w:pPr>
        <w:pStyle w:val="ListBullet"/>
        <w:spacing w:after="60" w:line="252" w:lineRule="auto"/>
      </w:pPr>
      <w:r>
        <w:rPr>
          <w:rFonts w:ascii="Liberation Sans" w:hAnsi="Liberation Sans" w:eastAsia="Liberation Sans"/>
        </w:rPr>
        <w:t>Fixed-point support/compatibility/guard datapath.</w:t>
      </w:r>
    </w:p>
    <w:p>
      <w:pPr>
        <w:pStyle w:val="ListBullet"/>
        <w:spacing w:after="60" w:line="252" w:lineRule="auto"/>
      </w:pPr>
      <w:r>
        <w:rPr>
          <w:rFonts w:ascii="Liberation Sans" w:hAnsi="Liberation Sans" w:eastAsia="Liberation Sans"/>
        </w:rPr>
        <w:t>Measured optofluidic B.C.E. endpoint and full-system accounting.</w:t>
      </w:r>
    </w:p>
    <w:p>
      <w:pPr>
        <w:pStyle w:val="Heading1"/>
      </w:pPr>
      <w:r>
        <w:t>6. GPU-native compiler and runtime</w:t>
      </w:r>
    </w:p>
    <w:p>
      <w:pPr>
        <w:spacing w:after="60"/>
        <w:jc w:val="center"/>
      </w:pPr>
      <w:r>
        <w:drawing>
          <wp:inline xmlns:a="http://schemas.openxmlformats.org/drawingml/2006/main" xmlns:pic="http://schemas.openxmlformats.org/drawingml/2006/picture">
            <wp:extent cx="6400800" cy="461781"/>
            <wp:docPr id="4" name="Picture 4"/>
            <wp:cNvGraphicFramePr>
              <a:graphicFrameLocks noChangeAspect="1"/>
            </wp:cNvGraphicFramePr>
            <a:graphic>
              <a:graphicData uri="http://schemas.openxmlformats.org/drawingml/2006/picture">
                <pic:pic>
                  <pic:nvPicPr>
                    <pic:cNvPr id="0" name="gpu_pipeline.png"/>
                    <pic:cNvPicPr/>
                  </pic:nvPicPr>
                  <pic:blipFill>
                    <a:blip r:embed="rId15"/>
                    <a:stretch>
                      <a:fillRect/>
                    </a:stretch>
                  </pic:blipFill>
                  <pic:spPr>
                    <a:xfrm>
                      <a:off x="0" y="0"/>
                      <a:ext cx="6400800" cy="461781"/>
                    </a:xfrm>
                    <a:prstGeom prst="rect"/>
                  </pic:spPr>
                </pic:pic>
              </a:graphicData>
            </a:graphic>
          </wp:inline>
        </w:drawing>
      </w:r>
    </w:p>
    <w:p>
      <w:pPr>
        <w:spacing w:after="160"/>
        <w:jc w:val="center"/>
      </w:pPr>
      <w:r>
        <w:rPr>
          <w:rFonts w:ascii="Liberation Sans" w:hAnsi="Liberation Sans"/>
          <w:i/>
          <w:color w:val="64748B"/>
          <w:sz w:val="16"/>
        </w:rPr>
        <w:t>Figure 3. Native compilation and execution. The authoritative runtime is Vulkan/SPIR-V, not an engine adapter.</w:t>
      </w:r>
    </w:p>
    <w:p>
      <w:pPr>
        <w:pStyle w:val="Heading2"/>
      </w:pPr>
      <w:r>
        <w:t>6.1 Compiled module set</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074"/>
        <w:gridCol w:w="2074"/>
        <w:gridCol w:w="2074"/>
        <w:gridCol w:w="2074"/>
        <w:gridCol w:w="2074"/>
      </w:tblGrid>
      <w:tr>
        <w:trPr>
          <w:tblHeader w:val="true"/>
        </w:trPr>
        <w:tc>
          <w:tcPr>
            <w:tcW w:type="dxa" w:w="374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Module</w:t>
            </w:r>
          </w:p>
        </w:tc>
        <w:tc>
          <w:tcPr>
            <w:tcW w:type="dxa" w:w="1007"/>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Bytes</w:t>
            </w:r>
          </w:p>
        </w:tc>
        <w:tc>
          <w:tcPr>
            <w:tcW w:type="dxa" w:w="1007"/>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SPIR-V</w:t>
            </w:r>
          </w:p>
        </w:tc>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Local size</w:t>
            </w:r>
          </w:p>
        </w:tc>
        <w:tc>
          <w:tcPr>
            <w:tcW w:type="dxa" w:w="115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Entry</w:t>
            </w:r>
          </w:p>
        </w:tc>
      </w:tr>
      <w:tr>
        <w:trPr>
          <w:cantSplit/>
        </w:trPr>
        <w:tc>
          <w:tcPr>
            <w:tcW w:type="dxa" w:w="37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ugts_g32_evaluate.spv</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5528</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1.4</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256x1x1</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main</w:t>
            </w:r>
          </w:p>
        </w:tc>
      </w:tr>
      <w:tr>
        <w:trPr>
          <w:cantSplit/>
        </w:trPr>
        <w:tc>
          <w:tcPr>
            <w:tcW w:type="dxa" w:w="37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ugts_g32_evaluate_commit.spv</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6148</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1.4</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256x1x1</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main</w:t>
            </w:r>
          </w:p>
        </w:tc>
      </w:tr>
      <w:tr>
        <w:trPr>
          <w:cantSplit/>
        </w:trPr>
        <w:tc>
          <w:tcPr>
            <w:tcW w:type="dxa" w:w="37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ugts_g64_evaluate.spv</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4888</w:t>
            </w:r>
          </w:p>
        </w:tc>
        <w:tc>
          <w:tcPr>
            <w:tcW w:type="dxa" w:w="1007"/>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1.4</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256x1x1</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main</w:t>
            </w:r>
          </w:p>
        </w:tc>
      </w:tr>
      <w:tr>
        <w:trPr>
          <w:cantSplit/>
        </w:trPr>
        <w:tc>
          <w:tcPr>
            <w:tcW w:type="dxa" w:w="37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ugts_g64_evaluate_commit.spv</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5508</w:t>
            </w:r>
          </w:p>
        </w:tc>
        <w:tc>
          <w:tcPr>
            <w:tcW w:type="dxa" w:w="1007"/>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1.4</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256x1x1</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main</w:t>
            </w:r>
          </w:p>
        </w:tc>
      </w:tr>
    </w:tbl>
    <w:p>
      <w:pPr>
        <w:spacing w:after="0"/>
      </w:pPr>
    </w:p>
    <w:p>
      <w:pPr>
        <w:spacing w:after="120" w:line="259" w:lineRule="auto"/>
      </w:pPr>
      <w:r>
        <w:rPr>
          <w:rFonts w:ascii="Liberation Sans" w:hAnsi="Liberation Sans" w:eastAsia="Liberation Sans"/>
          <w:i w:val="0"/>
        </w:rPr>
        <w:t>The runtime descriptor layout reserves set 0 bindings 0-2 for state, events and counters. Evaluate-only modules may optimize the unused counter binding out of the SPIR-V interface; evaluate+commit modules expose all three. The direct runtime creates shader modules, descriptor layouts, pipeline layouts, compute pipelines, buffers, command buffers, timestamp queries and pipeline caches without Unity or Godot.</w:t>
      </w:r>
    </w:p>
    <w:tbl>
      <w:tblPr>
        <w:tblW w:type="auto" w:w="0"/>
        <w:jc w:val="center"/>
        <w:tblLayout w:type="fixed"/>
        <w:tblLook w:firstColumn="1" w:firstRow="1" w:lastColumn="0" w:lastRow="0" w:noHBand="0" w:noVBand="1" w:val="04A0"/>
        <w:tblBorders>
          <w:top w:val="single" w:sz="6" w:space="0" w:color="D6A527"/>
          <w:left w:val="single" w:sz="6" w:space="0" w:color="D6A527"/>
          <w:bottom w:val="single" w:sz="6" w:space="0" w:color="D6A527"/>
          <w:right w:val="single" w:sz="6" w:space="0" w:color="D6A527"/>
          <w:insideH w:val="single" w:sz="6" w:space="0" w:color="D6A527"/>
          <w:insideV w:val="single" w:sz="6" w:space="0" w:color="D6A527"/>
        </w:tblBorders>
      </w:tblPr>
      <w:tblGrid>
        <w:gridCol w:w="10368"/>
      </w:tblGrid>
      <w:tr>
        <w:tc>
          <w:tcPr>
            <w:tcW w:type="dxa" w:w="10368"/>
            <w:shd w:fill="FFF5D6"/>
            <w:tcMar>
              <w:top w:w="110" w:type="dxa"/>
              <w:start w:w="140" w:type="dxa"/>
              <w:bottom w:w="110" w:type="dxa"/>
              <w:end w:w="140" w:type="dxa"/>
            </w:tcMar>
          </w:tcPr>
          <w:p>
            <w:pPr>
              <w:spacing w:after="40"/>
            </w:pPr>
            <w:r/>
            <w:r>
              <w:rPr>
                <w:rFonts w:ascii="Liberation Sans" w:hAnsi="Liberation Sans"/>
                <w:b/>
                <w:color w:val="D6A527"/>
                <w:sz w:val="16"/>
              </w:rPr>
              <w:t>REFERENCE QUERY CONVENTION</w:t>
            </w:r>
          </w:p>
          <w:p>
            <w:pPr>
              <w:spacing w:after="0" w:line="252" w:lineRule="auto"/>
            </w:pPr>
            <w:r>
              <w:rPr>
                <w:rFonts w:ascii="Liberation Sans" w:hAnsi="Liberation Sans"/>
                <w:color w:val="1F2937"/>
                <w:sz w:val="18"/>
              </w:rPr>
              <w:t>The bundled benchmark modules use target sheet 1, target orientation 0 and compatibility-mask bit 2. The exchange schema and CPU oracle permit explicit values. Production SPIR-V should expose query values through specialization constants, push constants or a query buffer, or compile a versioned fixed-query variant.</w:t>
            </w:r>
          </w:p>
        </w:tc>
      </w:tr>
    </w:tbl>
    <w:p>
      <w:pPr>
        <w:spacing w:after="0"/>
      </w:pPr>
    </w:p>
    <w:p>
      <w:pPr>
        <w:pStyle w:val="Heading2"/>
      </w:pPr>
      <w:r>
        <w:t>6.2 Evaluate versus evaluate+commit</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194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Mode</w:t>
            </w:r>
          </w:p>
        </w:tc>
        <w:tc>
          <w:tcPr>
            <w:tcW w:type="dxa" w:w="432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Operation</w:t>
            </w:r>
          </w:p>
        </w:tc>
        <w:tc>
          <w:tcPr>
            <w:tcW w:type="dxa" w:w="446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Expected scaling behavior</w:t>
            </w:r>
          </w:p>
        </w:tc>
      </w:tr>
      <w:tr>
        <w:trPr>
          <w:cantSplit/>
        </w:trPr>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evaluate</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Each invocation writes its own event record.</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No global atomics; maximum diagnostic throughput.</w:t>
            </w:r>
          </w:p>
        </w:tc>
      </w:tr>
      <w:tr>
        <w:trPr>
          <w:cantSplit/>
        </w:trPr>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evaluate+commit</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Also atomically increments candidate, support, compatibility and verified counters.</w:t>
            </w:r>
          </w:p>
        </w:tc>
        <w:tc>
          <w:tcPr>
            <w:tcW w:type="dxa" w:w="44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Contention grows with batch size and survivor density.</w:t>
            </w:r>
          </w:p>
        </w:tc>
      </w:tr>
      <w:tr>
        <w:trPr>
          <w:cantSplit/>
        </w:trPr>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production compact</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Ballot/prefix/append only verified events.</w:t>
            </w:r>
          </w:p>
        </w:tc>
        <w:tc>
          <w:tcPr>
            <w:tcW w:type="dxa" w:w="44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Reduces output memory; requires a measured compaction kernel or hardware FIFO.</w:t>
            </w:r>
          </w:p>
        </w:tc>
      </w:tr>
    </w:tbl>
    <w:p>
      <w:pPr>
        <w:spacing w:after="0"/>
      </w:pPr>
    </w:p>
    <w:p>
      <w:pPr>
        <w:pStyle w:val="Heading2"/>
      </w:pPr>
      <w:r>
        <w:t>6.3 Pipeline compilation and cache</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1481"/>
        <w:gridCol w:w="1481"/>
        <w:gridCol w:w="1481"/>
        <w:gridCol w:w="1481"/>
        <w:gridCol w:w="1481"/>
        <w:gridCol w:w="1481"/>
        <w:gridCol w:w="1481"/>
      </w:tblGrid>
      <w:tr>
        <w:trPr>
          <w:tblHeader w:val="true"/>
        </w:trPr>
        <w:tc>
          <w:tcPr>
            <w:tcW w:type="dxa" w:w="288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Program</w:t>
            </w:r>
          </w:p>
        </w:tc>
        <w:tc>
          <w:tcPr>
            <w:tcW w:type="dxa" w:w="108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SPIR-V B</w:t>
            </w:r>
          </w:p>
        </w:tc>
        <w:tc>
          <w:tcPr>
            <w:tcW w:type="dxa" w:w="108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Module ms</w:t>
            </w:r>
          </w:p>
        </w:tc>
        <w:tc>
          <w:tcPr>
            <w:tcW w:type="dxa" w:w="108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Cold ms</w:t>
            </w:r>
          </w:p>
        </w:tc>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Cache-seeded ms</w:t>
            </w:r>
          </w:p>
        </w:tc>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Cache B</w:t>
            </w:r>
          </w:p>
        </w:tc>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Reload</w:t>
            </w:r>
          </w:p>
        </w:tc>
      </w:tr>
      <w:tr>
        <w:trPr>
          <w:cantSplit/>
        </w:trPr>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G64_E32_evaluate</w:t>
            </w:r>
          </w:p>
        </w:tc>
        <w:tc>
          <w:tcPr>
            <w:tcW w:type="dxa" w:w="10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4,888</w:t>
            </w:r>
          </w:p>
        </w:tc>
        <w:tc>
          <w:tcPr>
            <w:tcW w:type="dxa" w:w="10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0.0062</w:t>
            </w:r>
          </w:p>
        </w:tc>
        <w:tc>
          <w:tcPr>
            <w:tcW w:type="dxa" w:w="10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12.891</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7.504</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32</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true</w:t>
            </w:r>
          </w:p>
        </w:tc>
      </w:tr>
      <w:tr>
        <w:trPr>
          <w:cantSplit/>
        </w:trPr>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G64_E32_evaluate_commit</w:t>
            </w:r>
          </w:p>
        </w:tc>
        <w:tc>
          <w:tcPr>
            <w:tcW w:type="dxa" w:w="10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5,508</w:t>
            </w:r>
          </w:p>
        </w:tc>
        <w:tc>
          <w:tcPr>
            <w:tcW w:type="dxa" w:w="10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0.0029</w:t>
            </w:r>
          </w:p>
        </w:tc>
        <w:tc>
          <w:tcPr>
            <w:tcW w:type="dxa" w:w="10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9.544</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7.279</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32</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true</w:t>
            </w:r>
          </w:p>
        </w:tc>
      </w:tr>
      <w:tr>
        <w:trPr>
          <w:cantSplit/>
        </w:trPr>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G32_E16_evaluate</w:t>
            </w:r>
          </w:p>
        </w:tc>
        <w:tc>
          <w:tcPr>
            <w:tcW w:type="dxa" w:w="10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5,528</w:t>
            </w:r>
          </w:p>
        </w:tc>
        <w:tc>
          <w:tcPr>
            <w:tcW w:type="dxa" w:w="10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0.0034</w:t>
            </w:r>
          </w:p>
        </w:tc>
        <w:tc>
          <w:tcPr>
            <w:tcW w:type="dxa" w:w="10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8.548</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14.652</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32</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true</w:t>
            </w:r>
          </w:p>
        </w:tc>
      </w:tr>
      <w:tr>
        <w:trPr>
          <w:cantSplit/>
        </w:trPr>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G32_E16_evaluate_commit</w:t>
            </w:r>
          </w:p>
        </w:tc>
        <w:tc>
          <w:tcPr>
            <w:tcW w:type="dxa" w:w="10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6,148</w:t>
            </w:r>
          </w:p>
        </w:tc>
        <w:tc>
          <w:tcPr>
            <w:tcW w:type="dxa" w:w="10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0.0036</w:t>
            </w:r>
          </w:p>
        </w:tc>
        <w:tc>
          <w:tcPr>
            <w:tcW w:type="dxa" w:w="10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9.540</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8.490</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32</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true</w:t>
            </w:r>
          </w:p>
        </w:tc>
      </w:tr>
    </w:tbl>
    <w:p>
      <w:pPr>
        <w:spacing w:after="0"/>
      </w:pPr>
    </w:p>
    <w:p>
      <w:pPr>
        <w:spacing w:after="60"/>
        <w:jc w:val="center"/>
      </w:pPr>
      <w:r>
        <w:drawing>
          <wp:inline xmlns:a="http://schemas.openxmlformats.org/drawingml/2006/main" xmlns:pic="http://schemas.openxmlformats.org/drawingml/2006/picture">
            <wp:extent cx="6217920" cy="3803904"/>
            <wp:docPr id="5" name="Picture 5"/>
            <wp:cNvGraphicFramePr>
              <a:graphicFrameLocks noChangeAspect="1"/>
            </wp:cNvGraphicFramePr>
            <a:graphic>
              <a:graphicData uri="http://schemas.openxmlformats.org/drawingml/2006/picture">
                <pic:pic>
                  <pic:nvPicPr>
                    <pic:cNvPr id="0" name="pipeline_compilation.png"/>
                    <pic:cNvPicPr/>
                  </pic:nvPicPr>
                  <pic:blipFill>
                    <a:blip r:embed="rId16"/>
                    <a:stretch>
                      <a:fillRect/>
                    </a:stretch>
                  </pic:blipFill>
                  <pic:spPr>
                    <a:xfrm>
                      <a:off x="0" y="0"/>
                      <a:ext cx="6217920" cy="3803904"/>
                    </a:xfrm>
                    <a:prstGeom prst="rect"/>
                  </pic:spPr>
                </pic:pic>
              </a:graphicData>
            </a:graphic>
          </wp:inline>
        </w:drawing>
      </w:r>
    </w:p>
    <w:p>
      <w:pPr>
        <w:spacing w:after="160"/>
        <w:jc w:val="center"/>
      </w:pPr>
      <w:r>
        <w:rPr>
          <w:rFonts w:ascii="Liberation Sans" w:hAnsi="Liberation Sans"/>
          <w:i/>
          <w:color w:val="64748B"/>
          <w:sz w:val="16"/>
        </w:rPr>
        <w:t>Figure 4. Pipeline-creation measurements on the named validation device. Cache-seeded creation is not guaranteed to be faster on every run or backend.</w:t>
      </w:r>
    </w:p>
    <w:p>
      <w:pPr>
        <w:spacing w:after="120" w:line="259" w:lineRule="auto"/>
      </w:pPr>
      <w:r>
        <w:rPr>
          <w:rFonts w:ascii="Liberation Sans" w:hAnsi="Liberation Sans" w:eastAsia="Liberation Sans"/>
          <w:i w:val="0"/>
        </w:rPr>
        <w:t>The 32-byte pipeline cache blobs are implementation-specific. They demonstrate cache extraction/reload plumbing, not a portable precompiled program format. The portable program object is SPIR-V plus the declared ABI.</w:t>
      </w:r>
    </w:p>
    <w:p>
      <w:pPr>
        <w:pStyle w:val="Heading1"/>
      </w:pPr>
      <w:r>
        <w:t>7. State and event ABI</w:t>
      </w:r>
    </w:p>
    <w:p>
      <w:pPr>
        <w:pStyle w:val="Heading2"/>
      </w:pPr>
      <w:r>
        <w:t>7.1 Authoritative G64/E32 profile</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592"/>
        <w:gridCol w:w="2592"/>
        <w:gridCol w:w="2592"/>
        <w:gridCol w:w="2592"/>
      </w:tblGrid>
      <w:tr>
        <w:trPr>
          <w:tblHeader w:val="true"/>
        </w:trPr>
        <w:tc>
          <w:tcPr>
            <w:tcW w:type="dxa" w:w="158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Record</w:t>
            </w:r>
          </w:p>
        </w:tc>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Bytes</w:t>
            </w:r>
          </w:p>
        </w:tc>
        <w:tc>
          <w:tcPr>
            <w:tcW w:type="dxa" w:w="532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Contents</w:t>
            </w:r>
          </w:p>
        </w:tc>
        <w:tc>
          <w:tcPr>
            <w:tcW w:type="dxa" w:w="316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Use</w:t>
            </w:r>
          </w:p>
        </w:tc>
      </w:tr>
      <w:tr>
        <w:trPr>
          <w:cantSplit/>
        </w:trPr>
        <w:tc>
          <w:tcPr>
            <w:tcW w:type="dxa" w:w="15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G64State</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64</w:t>
            </w:r>
          </w:p>
        </w:tc>
        <w:tc>
          <w:tcPr>
            <w:tcW w:type="dxa" w:w="532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12 float32 scalars plus four uint32 topology/lineage words.</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Authoritative geometric reference and precision oracle.</w:t>
            </w:r>
          </w:p>
        </w:tc>
      </w:tr>
      <w:tr>
        <w:trPr>
          <w:cantSplit/>
        </w:trPr>
        <w:tc>
          <w:tcPr>
            <w:tcW w:type="dxa" w:w="158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E32Event</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32</w:t>
            </w:r>
          </w:p>
        </w:tc>
        <w:tc>
          <w:tcPr>
            <w:tcW w:type="dxa" w:w="532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SDF, guard, confidence, time; verified, route, lineage hash, flags.</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Dense diagnostic output and validation.</w:t>
            </w:r>
          </w:p>
        </w:tc>
      </w:tr>
    </w:tbl>
    <w:p>
      <w:pPr>
        <w:spacing w:after="0"/>
      </w:pP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592"/>
        <w:gridCol w:w="2592"/>
        <w:gridCol w:w="2592"/>
        <w:gridCol w:w="2592"/>
      </w:tblGrid>
      <w:tr>
        <w:trPr>
          <w:tblHeader w:val="true"/>
        </w:trPr>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Offset</w:t>
            </w:r>
          </w:p>
        </w:tc>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Bytes</w:t>
            </w:r>
          </w:p>
        </w:tc>
        <w:tc>
          <w:tcPr>
            <w:tcW w:type="dxa" w:w="244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Field</w:t>
            </w:r>
          </w:p>
        </w:tc>
        <w:tc>
          <w:tcPr>
            <w:tcW w:type="dxa" w:w="6623"/>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Meaning</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0</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16</w:t>
            </w:r>
          </w:p>
        </w:tc>
        <w:tc>
          <w:tcPr>
            <w:tcW w:type="dxa" w:w="244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position_time</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x, y, z, query time</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16</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16</w:t>
            </w:r>
          </w:p>
        </w:tc>
        <w:tc>
          <w:tcPr>
            <w:tcW w:type="dxa" w:w="244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axis_radius</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support axis x/y/z and radial reach</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32</w:t>
            </w:r>
          </w:p>
        </w:tc>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16</w:t>
            </w:r>
          </w:p>
        </w:tc>
        <w:tc>
          <w:tcPr>
            <w:tcW w:type="dxa" w:w="244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phase_guard</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cone cosine, phase, epsilon, confidence floor</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48</w:t>
            </w:r>
          </w:p>
        </w:tc>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16</w:t>
            </w:r>
          </w:p>
        </w:tc>
        <w:tc>
          <w:tcPr>
            <w:tcW w:type="dxa" w:w="244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meta</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sheet, orientation, compatibility mask, lineage seed</w:t>
            </w:r>
          </w:p>
        </w:tc>
      </w:tr>
    </w:tbl>
    <w:p>
      <w:pPr>
        <w:spacing w:after="0"/>
      </w:pPr>
    </w:p>
    <w:p>
      <w:pPr>
        <w:pStyle w:val="Heading2"/>
      </w:pPr>
      <w:r>
        <w:t>7.2 Packed G32/E16 profile</w:t>
      </w:r>
    </w:p>
    <w:p>
      <w:pPr>
        <w:spacing w:after="120" w:line="259" w:lineRule="auto"/>
      </w:pPr>
      <w:r>
        <w:rPr>
          <w:rFonts w:ascii="Liberation Sans" w:hAnsi="Liberation Sans" w:eastAsia="Liberation Sans"/>
          <w:i w:val="0"/>
        </w:rPr>
        <w:t>G32 stores twelve scalar values as IEEE binary16 pairs and packs topology into one word. E16 packs guard and confidence as binary16. This exactly halves dense state-plus-event traffic from 96 to 48 bytes per candidate, but only under a declared precision and guard-margin contract.</w:t>
      </w:r>
    </w:p>
    <w:tbl>
      <w:tblPr>
        <w:tblW w:type="auto" w:w="0"/>
        <w:jc w:val="center"/>
        <w:tblLayout w:type="fixed"/>
        <w:tblLook w:firstColumn="1" w:firstRow="1" w:lastColumn="0" w:lastRow="0" w:noHBand="0" w:noVBand="1" w:val="04A0"/>
        <w:tblBorders>
          <w:top w:val="single" w:sz="6" w:space="0" w:color="D6A527"/>
          <w:left w:val="single" w:sz="6" w:space="0" w:color="D6A527"/>
          <w:bottom w:val="single" w:sz="6" w:space="0" w:color="D6A527"/>
          <w:right w:val="single" w:sz="6" w:space="0" w:color="D6A527"/>
          <w:insideH w:val="single" w:sz="6" w:space="0" w:color="D6A527"/>
          <w:insideV w:val="single" w:sz="6" w:space="0" w:color="D6A527"/>
        </w:tblBorders>
      </w:tblPr>
      <w:tblGrid>
        <w:gridCol w:w="10368"/>
      </w:tblGrid>
      <w:tr>
        <w:tc>
          <w:tcPr>
            <w:tcW w:type="dxa" w:w="10368"/>
            <w:shd w:fill="FFF5D6"/>
            <w:tcMar>
              <w:top w:w="110" w:type="dxa"/>
              <w:start w:w="140" w:type="dxa"/>
              <w:bottom w:w="110" w:type="dxa"/>
              <w:end w:w="140" w:type="dxa"/>
            </w:tcMar>
          </w:tcPr>
          <w:p>
            <w:pPr>
              <w:spacing w:after="40"/>
            </w:pPr>
            <w:r/>
            <w:r>
              <w:rPr>
                <w:rFonts w:ascii="Liberation Sans" w:hAnsi="Liberation Sans"/>
                <w:b/>
                <w:color w:val="D6A527"/>
                <w:sz w:val="16"/>
              </w:rPr>
              <w:t>PRECISION RULE</w:t>
            </w:r>
          </w:p>
          <w:p>
            <w:pPr>
              <w:spacing w:after="0" w:line="252" w:lineRule="auto"/>
            </w:pPr>
            <w:r>
              <w:rPr>
                <w:rFonts w:ascii="Liberation Sans" w:hAnsi="Liberation Sans"/>
                <w:color w:val="1F2937"/>
                <w:sz w:val="18"/>
              </w:rPr>
              <w:t>Packed or fixed-point records are accepted only when coordinate, axis, radius and guard error remain below the declared event margin. A memory reduction is not a correctness proof.</w:t>
            </w:r>
          </w:p>
        </w:tc>
      </w:tr>
    </w:tbl>
    <w:p>
      <w:pPr>
        <w:spacing w:after="0"/>
      </w:pPr>
    </w:p>
    <w:p>
      <w:pPr>
        <w:pStyle w:val="Heading2"/>
      </w:pPr>
      <w:r>
        <w:t>7.3 Lineage</w:t>
      </w:r>
    </w:p>
    <w:p>
      <w:pPr>
        <w:spacing w:after="120" w:line="259" w:lineRule="auto"/>
      </w:pPr>
      <w:r>
        <w:rPr>
          <w:rFonts w:ascii="Liberation Sans" w:hAnsi="Liberation Sans" w:eastAsia="Liberation Sans"/>
          <w:i w:val="0"/>
        </w:rPr>
        <w:t>The 32-bit lineage hash in E32/E16 is a compact checksum for validation and routing. It is not a cryptographic identity and cannot replace the full generative address, branch history and ordered novelty log required for durable persistence.</w:t>
      </w:r>
    </w:p>
    <w:p>
      <w:pPr>
        <w:pStyle w:val="Heading2"/>
      </w:pPr>
      <w:r>
        <w:t>7.4 Exchange schema</w:t>
      </w:r>
    </w:p>
    <w:p>
      <w:pPr>
        <w:spacing w:after="120" w:line="259" w:lineRule="auto"/>
      </w:pPr>
      <w:r>
        <w:rPr>
          <w:rFonts w:ascii="Liberation Sans" w:hAnsi="Liberation Sans" w:eastAsia="Liberation Sans"/>
          <w:i w:val="0"/>
        </w:rPr>
        <w:t>The package includes `spec/schema.json`, a JSON Schema for portable query/state/event exchange. It distinguishes the G64/E32, G32/E16 and Q16.16-squared hardware profiles and records the selected glyph-encoder variant.</w:t>
      </w:r>
    </w:p>
    <w:p>
      <w:pPr>
        <w:pStyle w:val="Heading1"/>
      </w:pPr>
      <w:r>
        <w:t>8. Measured performance</w:t>
      </w:r>
    </w:p>
    <w:tbl>
      <w:tblPr>
        <w:tblW w:type="auto" w:w="0"/>
        <w:jc w:val="center"/>
        <w:tblLayout w:type="fixed"/>
        <w:tblLook w:firstColumn="1" w:firstRow="1" w:lastColumn="0" w:lastRow="0" w:noHBand="0" w:noVBand="1" w:val="04A0"/>
        <w:tblBorders>
          <w:top w:val="single" w:sz="6" w:space="0" w:color="0E6F75"/>
          <w:left w:val="single" w:sz="6" w:space="0" w:color="0E6F75"/>
          <w:bottom w:val="single" w:sz="6" w:space="0" w:color="0E6F75"/>
          <w:right w:val="single" w:sz="6" w:space="0" w:color="0E6F75"/>
          <w:insideH w:val="single" w:sz="6" w:space="0" w:color="0E6F75"/>
          <w:insideV w:val="single" w:sz="6" w:space="0" w:color="0E6F75"/>
        </w:tblBorders>
      </w:tblPr>
      <w:tblGrid>
        <w:gridCol w:w="10368"/>
      </w:tblGrid>
      <w:tr>
        <w:tc>
          <w:tcPr>
            <w:tcW w:type="dxa" w:w="10368"/>
            <w:shd w:fill="E8F4F4"/>
            <w:tcMar>
              <w:top w:w="110" w:type="dxa"/>
              <w:start w:w="140" w:type="dxa"/>
              <w:bottom w:w="110" w:type="dxa"/>
              <w:end w:w="140" w:type="dxa"/>
            </w:tcMar>
          </w:tcPr>
          <w:p>
            <w:pPr>
              <w:spacing w:after="40"/>
            </w:pPr>
            <w:r/>
            <w:r>
              <w:rPr>
                <w:rFonts w:ascii="Liberation Sans" w:hAnsi="Liberation Sans"/>
                <w:b/>
                <w:color w:val="0E6F75"/>
                <w:sz w:val="16"/>
              </w:rPr>
              <w:t>MEASUREMENT CONTEXT</w:t>
            </w:r>
          </w:p>
          <w:p>
            <w:pPr>
              <w:spacing w:after="0" w:line="252" w:lineRule="auto"/>
            </w:pPr>
            <w:r>
              <w:rPr>
                <w:rFonts w:ascii="Liberation Sans" w:hAnsi="Liberation Sans"/>
                <w:color w:val="1F2937"/>
                <w:sz w:val="18"/>
              </w:rPr>
              <w:t>Runtime: direct Vulkan compute. Device: SwiftShader Device (Subzero). API: 1.3.0. Warmup: 3; measured iterations: 12; timing: device timestamps with 1.0 ns period. physical_gpu_claim=false.</w:t>
            </w:r>
          </w:p>
        </w:tc>
      </w:tr>
    </w:tbl>
    <w:p>
      <w:pPr>
        <w:spacing w:after="0"/>
      </w:pP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1296"/>
        <w:gridCol w:w="1296"/>
        <w:gridCol w:w="1296"/>
        <w:gridCol w:w="1296"/>
        <w:gridCol w:w="1296"/>
        <w:gridCol w:w="1296"/>
        <w:gridCol w:w="1296"/>
        <w:gridCol w:w="1296"/>
      </w:tblGrid>
      <w:tr>
        <w:trPr>
          <w:tblHeader w:val="true"/>
        </w:trPr>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Profile</w:t>
            </w:r>
          </w:p>
        </w:tc>
        <w:tc>
          <w:tcPr>
            <w:tcW w:type="dxa" w:w="1655"/>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Mode</w:t>
            </w:r>
          </w:p>
        </w:tc>
        <w:tc>
          <w:tcPr>
            <w:tcW w:type="dxa" w:w="10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p50 ms</w:t>
            </w:r>
          </w:p>
        </w:tc>
        <w:tc>
          <w:tcPr>
            <w:tcW w:type="dxa" w:w="10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p95 ms</w:t>
            </w:r>
          </w:p>
        </w:tc>
        <w:tc>
          <w:tcPr>
            <w:tcW w:type="dxa" w:w="10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p99 ms</w:t>
            </w:r>
          </w:p>
        </w:tc>
        <w:tc>
          <w:tcPr>
            <w:tcW w:type="dxa" w:w="122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CER M/s</w:t>
            </w:r>
          </w:p>
        </w:tc>
        <w:tc>
          <w:tcPr>
            <w:tcW w:type="dxa" w:w="122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SET M/s</w:t>
            </w:r>
          </w:p>
        </w:tc>
        <w:tc>
          <w:tcPr>
            <w:tcW w:type="dxa" w:w="129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4"/>
              </w:rPr>
              <w:t>ESB GB/s</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G64_E32</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evaluate</w:t>
            </w:r>
          </w:p>
        </w:tc>
        <w:tc>
          <w:tcPr>
            <w:tcW w:type="dxa" w:w="10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12.528</w:t>
            </w:r>
          </w:p>
        </w:tc>
        <w:tc>
          <w:tcPr>
            <w:tcW w:type="dxa" w:w="10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21.192</w:t>
            </w:r>
          </w:p>
        </w:tc>
        <w:tc>
          <w:tcPr>
            <w:tcW w:type="dxa" w:w="10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22.743</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83.700</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4.113</w:t>
            </w:r>
          </w:p>
        </w:tc>
        <w:tc>
          <w:tcPr>
            <w:tcW w:type="dxa" w:w="129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8.035</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G64_E32</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evaluate_commit</w:t>
            </w:r>
          </w:p>
        </w:tc>
        <w:tc>
          <w:tcPr>
            <w:tcW w:type="dxa" w:w="10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21.963</w:t>
            </w:r>
          </w:p>
        </w:tc>
        <w:tc>
          <w:tcPr>
            <w:tcW w:type="dxa" w:w="10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36.570</w:t>
            </w:r>
          </w:p>
        </w:tc>
        <w:tc>
          <w:tcPr>
            <w:tcW w:type="dxa" w:w="10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38.153</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47.743</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2.346</w:t>
            </w:r>
          </w:p>
        </w:tc>
        <w:tc>
          <w:tcPr>
            <w:tcW w:type="dxa" w:w="129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4.583</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G32_E16</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evaluate</w:t>
            </w:r>
          </w:p>
        </w:tc>
        <w:tc>
          <w:tcPr>
            <w:tcW w:type="dxa" w:w="10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13.307</w:t>
            </w:r>
          </w:p>
        </w:tc>
        <w:tc>
          <w:tcPr>
            <w:tcW w:type="dxa" w:w="10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18.860</w:t>
            </w:r>
          </w:p>
        </w:tc>
        <w:tc>
          <w:tcPr>
            <w:tcW w:type="dxa" w:w="10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21.321</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78.798</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3.748</w:t>
            </w:r>
          </w:p>
        </w:tc>
        <w:tc>
          <w:tcPr>
            <w:tcW w:type="dxa" w:w="129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4"/>
              </w:rPr>
              <w:t>3.782</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G32_E16</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evaluate_commit</w:t>
            </w:r>
          </w:p>
        </w:tc>
        <w:tc>
          <w:tcPr>
            <w:tcW w:type="dxa" w:w="10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19.172</w:t>
            </w:r>
          </w:p>
        </w:tc>
        <w:tc>
          <w:tcPr>
            <w:tcW w:type="dxa" w:w="10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32.585</w:t>
            </w:r>
          </w:p>
        </w:tc>
        <w:tc>
          <w:tcPr>
            <w:tcW w:type="dxa" w:w="10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33.743</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54.693</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2.602</w:t>
            </w:r>
          </w:p>
        </w:tc>
        <w:tc>
          <w:tcPr>
            <w:tcW w:type="dxa" w:w="129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4"/>
              </w:rPr>
              <w:t>2.625</w:t>
            </w:r>
          </w:p>
        </w:tc>
      </w:tr>
    </w:tbl>
    <w:p>
      <w:pPr>
        <w:spacing w:after="0"/>
      </w:pPr>
    </w:p>
    <w:p>
      <w:pPr>
        <w:pStyle w:val="Heading2"/>
      </w:pPr>
      <w:r>
        <w:t>8.1 Meaningful performance names</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074"/>
        <w:gridCol w:w="2074"/>
        <w:gridCol w:w="2074"/>
        <w:gridCol w:w="2074"/>
        <w:gridCol w:w="2074"/>
      </w:tblGrid>
      <w:tr>
        <w:trPr>
          <w:tblHeader w:val="true"/>
        </w:trPr>
        <w:tc>
          <w:tcPr>
            <w:tcW w:type="dxa" w:w="93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Symbol</w:t>
            </w:r>
          </w:p>
        </w:tc>
        <w:tc>
          <w:tcPr>
            <w:tcW w:type="dxa" w:w="316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Name</w:t>
            </w:r>
          </w:p>
        </w:tc>
        <w:tc>
          <w:tcPr>
            <w:tcW w:type="dxa" w:w="122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Value</w:t>
            </w:r>
          </w:p>
        </w:tc>
        <w:tc>
          <w:tcPr>
            <w:tcW w:type="dxa" w:w="18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Unit</w:t>
            </w:r>
          </w:p>
        </w:tc>
        <w:tc>
          <w:tcPr>
            <w:tcW w:type="dxa" w:w="338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Scope</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CER</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Candidate Evaluation Rate</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83.6999</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million candidates/s</w:t>
            </w:r>
          </w:p>
        </w:tc>
        <w:tc>
          <w:tcPr>
            <w:tcW w:type="dxa" w:w="33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G64_E32 evaluate, N=1048576</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SET</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Spherical Event Throughput</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4.1125</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million verified events/s</w:t>
            </w:r>
          </w:p>
        </w:tc>
        <w:tc>
          <w:tcPr>
            <w:tcW w:type="dxa" w:w="338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G64_E32 evaluate, N=1048576</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ESB</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Effective Substrate Bandwidth</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8.0352</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GB/s</w:t>
            </w:r>
          </w:p>
        </w:tc>
        <w:tc>
          <w:tcPr>
            <w:tcW w:type="dxa" w:w="33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G64_E32 evaluate, N=1048576</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SRG</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Support Rejection Gain</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1.8982</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G64_E32 deterministic corpus</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CRG</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Compatibility Rejection Gain</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6.0019</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G64_E32 deterministic corpus</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EY</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Event Yield</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4.9134</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w:t>
            </w:r>
          </w:p>
        </w:tc>
        <w:tc>
          <w:tcPr>
            <w:tcW w:type="dxa" w:w="338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G64_E32 deterministic corpus</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SCR</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State Compression Ratio</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2.0000</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N=1048576</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ECR</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Event Compaction Ratio</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21.0228</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G32_E16 evaluate, N=1048576</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SNC</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State-plus-Novelty Compression</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2.9303</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N=1048576</w:t>
            </w:r>
          </w:p>
        </w:tc>
      </w:tr>
      <w:tr>
        <w:trPr>
          <w:cantSplit/>
        </w:trPr>
        <w:tc>
          <w:tcPr>
            <w:tcW w:type="dxa" w:w="93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CCF</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Commit Cost Factor</w:t>
            </w:r>
          </w:p>
        </w:tc>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1.7531</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G64_E32, N=1048576</w:t>
            </w:r>
          </w:p>
        </w:tc>
      </w:tr>
      <w:tr>
        <w:trPr>
          <w:cantSplit/>
        </w:trPr>
        <w:tc>
          <w:tcPr>
            <w:tcW w:type="dxa" w:w="93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PCP</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Packed Compute Penalty</w:t>
            </w:r>
          </w:p>
        </w:tc>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1.0622</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x</w:t>
            </w:r>
          </w:p>
        </w:tc>
        <w:tc>
          <w:tcPr>
            <w:tcW w:type="dxa" w:w="338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N=1048576; software Vulkan device</w:t>
            </w:r>
          </w:p>
        </w:tc>
      </w:tr>
    </w:tbl>
    <w:p>
      <w:pPr>
        <w:spacing w:after="0"/>
      </w:pPr>
    </w:p>
    <w:p>
      <w:pPr>
        <w:spacing w:after="60"/>
        <w:jc w:val="center"/>
      </w:pPr>
      <w:r>
        <w:drawing>
          <wp:inline xmlns:a="http://schemas.openxmlformats.org/drawingml/2006/main" xmlns:pic="http://schemas.openxmlformats.org/drawingml/2006/picture">
            <wp:extent cx="6217920" cy="3803904"/>
            <wp:docPr id="6" name="Picture 6"/>
            <wp:cNvGraphicFramePr>
              <a:graphicFrameLocks noChangeAspect="1"/>
            </wp:cNvGraphicFramePr>
            <a:graphic>
              <a:graphicData uri="http://schemas.openxmlformats.org/drawingml/2006/picture">
                <pic:pic>
                  <pic:nvPicPr>
                    <pic:cNvPr id="0" name="candidate_evaluation_rate.png"/>
                    <pic:cNvPicPr/>
                  </pic:nvPicPr>
                  <pic:blipFill>
                    <a:blip r:embed="rId17"/>
                    <a:stretch>
                      <a:fillRect/>
                    </a:stretch>
                  </pic:blipFill>
                  <pic:spPr>
                    <a:xfrm>
                      <a:off x="0" y="0"/>
                      <a:ext cx="6217920" cy="3803904"/>
                    </a:xfrm>
                    <a:prstGeom prst="rect"/>
                  </pic:spPr>
                </pic:pic>
              </a:graphicData>
            </a:graphic>
          </wp:inline>
        </w:drawing>
      </w:r>
    </w:p>
    <w:p>
      <w:pPr>
        <w:spacing w:after="160"/>
        <w:jc w:val="center"/>
      </w:pPr>
      <w:r>
        <w:rPr>
          <w:rFonts w:ascii="Liberation Sans" w:hAnsi="Liberation Sans"/>
          <w:i/>
          <w:color w:val="64748B"/>
          <w:sz w:val="16"/>
        </w:rPr>
        <w:t>Figure 5. Candidate Evaluation Rate by profile, mode and batch size.</w:t>
      </w:r>
    </w:p>
    <w:p>
      <w:pPr>
        <w:spacing w:after="60"/>
        <w:jc w:val="center"/>
      </w:pPr>
      <w:r>
        <w:drawing>
          <wp:inline xmlns:a="http://schemas.openxmlformats.org/drawingml/2006/main" xmlns:pic="http://schemas.openxmlformats.org/drawingml/2006/picture">
            <wp:extent cx="6217920" cy="3803904"/>
            <wp:docPr id="7" name="Picture 7"/>
            <wp:cNvGraphicFramePr>
              <a:graphicFrameLocks noChangeAspect="1"/>
            </wp:cNvGraphicFramePr>
            <a:graphic>
              <a:graphicData uri="http://schemas.openxmlformats.org/drawingml/2006/picture">
                <pic:pic>
                  <pic:nvPicPr>
                    <pic:cNvPr id="0" name="device_latency.png"/>
                    <pic:cNvPicPr/>
                  </pic:nvPicPr>
                  <pic:blipFill>
                    <a:blip r:embed="rId18"/>
                    <a:stretch>
                      <a:fillRect/>
                    </a:stretch>
                  </pic:blipFill>
                  <pic:spPr>
                    <a:xfrm>
                      <a:off x="0" y="0"/>
                      <a:ext cx="6217920" cy="3803904"/>
                    </a:xfrm>
                    <a:prstGeom prst="rect"/>
                  </pic:spPr>
                </pic:pic>
              </a:graphicData>
            </a:graphic>
          </wp:inline>
        </w:drawing>
      </w:r>
    </w:p>
    <w:p>
      <w:pPr>
        <w:spacing w:after="160"/>
        <w:jc w:val="center"/>
      </w:pPr>
      <w:r>
        <w:rPr>
          <w:rFonts w:ascii="Liberation Sans" w:hAnsi="Liberation Sans"/>
          <w:i/>
          <w:color w:val="64748B"/>
          <w:sz w:val="16"/>
        </w:rPr>
        <w:t>Figure 6. Device-timestamp dispatch latency. Tail latency is reported separately from p50.</w:t>
      </w:r>
    </w:p>
    <w:p>
      <w:pPr>
        <w:pStyle w:val="Heading2"/>
      </w:pPr>
      <w:r>
        <w:t>8.2 Interpretation</w:t>
      </w:r>
    </w:p>
    <w:p>
      <w:pPr>
        <w:spacing w:after="120" w:line="259" w:lineRule="auto"/>
      </w:pPr>
      <w:r>
        <w:rPr>
          <w:rFonts w:ascii="Liberation Sans" w:hAnsi="Liberation Sans" w:eastAsia="Liberation Sans"/>
          <w:i w:val="0"/>
        </w:rPr>
        <w:t>At N=1,048,576, the G64/E32 evaluate path reached 83.700 million candidate evaluations/s and 4.113 million verified events/s on the software Vulkan device. Evaluate+commit cost 1.753x the evaluate p50 in G64/E32 because of global atomic counters.</w:t>
      </w:r>
    </w:p>
    <w:p>
      <w:pPr>
        <w:spacing w:after="120" w:line="259" w:lineRule="auto"/>
      </w:pPr>
      <w:r>
        <w:rPr>
          <w:rFonts w:ascii="Liberation Sans" w:hAnsi="Liberation Sans" w:eastAsia="Liberation Sans"/>
          <w:i w:val="0"/>
        </w:rPr>
        <w:t>The packed G32/E16 profile used half the dense memory but had a Packed Compute Penalty of 1.062x on this backend. Packing therefore reduced traffic without guaranteeing greater speed.</w:t>
      </w:r>
    </w:p>
    <w:p>
      <w:pPr>
        <w:pStyle w:val="Heading1"/>
      </w:pPr>
      <w:r>
        <w:t>9. Memory and compression</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074"/>
        <w:gridCol w:w="2074"/>
        <w:gridCol w:w="2074"/>
        <w:gridCol w:w="2074"/>
        <w:gridCol w:w="2074"/>
      </w:tblGrid>
      <w:tr>
        <w:trPr>
          <w:tblHeader w:val="true"/>
        </w:trPr>
        <w:tc>
          <w:tcPr>
            <w:tcW w:type="dxa" w:w="3311"/>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Configuration</w:t>
            </w:r>
          </w:p>
        </w:tc>
        <w:tc>
          <w:tcPr>
            <w:tcW w:type="dxa" w:w="1655"/>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Bytes</w:t>
            </w:r>
          </w:p>
        </w:tc>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Human</w:t>
            </w:r>
          </w:p>
        </w:tc>
        <w:tc>
          <w:tcPr>
            <w:tcW w:type="dxa" w:w="129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G64 dense</w:t>
            </w:r>
          </w:p>
        </w:tc>
        <w:tc>
          <w:tcPr>
            <w:tcW w:type="dxa" w:w="316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Retention</w:t>
            </w:r>
          </w:p>
        </w:tc>
      </w:tr>
      <w:tr>
        <w:trPr>
          <w:cantSplit/>
        </w:trPr>
        <w:tc>
          <w:tcPr>
            <w:tcW w:type="dxa" w:w="331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G64_E32 dense</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100,663,296</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96.000 MiB</w:t>
            </w:r>
          </w:p>
        </w:tc>
        <w:tc>
          <w:tcPr>
            <w:tcW w:type="dxa" w:w="129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100.000%</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all states + dense outputs</w:t>
            </w:r>
          </w:p>
        </w:tc>
      </w:tr>
      <w:tr>
        <w:trPr>
          <w:cantSplit/>
        </w:trPr>
        <w:tc>
          <w:tcPr>
            <w:tcW w:type="dxa" w:w="331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G32_E16 dense</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50,331,648</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48.000 MiB</w:t>
            </w:r>
          </w:p>
        </w:tc>
        <w:tc>
          <w:tcPr>
            <w:tcW w:type="dxa" w:w="129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50.000%</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all packed states + dense outputs</w:t>
            </w:r>
          </w:p>
        </w:tc>
      </w:tr>
      <w:tr>
        <w:trPr>
          <w:cantSplit/>
        </w:trPr>
        <w:tc>
          <w:tcPr>
            <w:tcW w:type="dxa" w:w="331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G32 state + compact E16 novelty log</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34,352,480</w:t>
            </w:r>
          </w:p>
        </w:tc>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32.761 MiB</w:t>
            </w:r>
          </w:p>
        </w:tc>
        <w:tc>
          <w:tcPr>
            <w:tcW w:type="dxa" w:w="129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34.126%</w:t>
            </w:r>
          </w:p>
        </w:tc>
        <w:tc>
          <w:tcPr>
            <w:tcW w:type="dxa" w:w="316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all packed states + verified events only</w:t>
            </w:r>
          </w:p>
        </w:tc>
      </w:tr>
      <w:tr>
        <w:trPr>
          <w:cantSplit/>
        </w:trPr>
        <w:tc>
          <w:tcPr>
            <w:tcW w:type="dxa" w:w="331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G32 compact E16 novelty log only</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798,048</w:t>
            </w:r>
          </w:p>
        </w:tc>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779.344 KiB</w:t>
            </w:r>
          </w:p>
        </w:tc>
        <w:tc>
          <w:tcPr>
            <w:tcW w:type="dxa" w:w="129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0.793%</w:t>
            </w:r>
          </w:p>
        </w:tc>
        <w:tc>
          <w:tcPr>
            <w:tcW w:type="dxa" w:w="316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verified events only; state must be rebuildable</w:t>
            </w:r>
          </w:p>
        </w:tc>
      </w:tr>
    </w:tbl>
    <w:p>
      <w:pPr>
        <w:spacing w:after="0"/>
      </w:pPr>
    </w:p>
    <w:p>
      <w:pPr>
        <w:spacing w:after="60"/>
        <w:jc w:val="center"/>
      </w:pPr>
      <w:r>
        <w:drawing>
          <wp:inline xmlns:a="http://schemas.openxmlformats.org/drawingml/2006/main" xmlns:pic="http://schemas.openxmlformats.org/drawingml/2006/picture">
            <wp:extent cx="6217920" cy="3803904"/>
            <wp:docPr id="8" name="Picture 8"/>
            <wp:cNvGraphicFramePr>
              <a:graphicFrameLocks noChangeAspect="1"/>
            </wp:cNvGraphicFramePr>
            <a:graphic>
              <a:graphicData uri="http://schemas.openxmlformats.org/drawingml/2006/picture">
                <pic:pic>
                  <pic:nvPicPr>
                    <pic:cNvPr id="0" name="memory_footprint.png"/>
                    <pic:cNvPicPr/>
                  </pic:nvPicPr>
                  <pic:blipFill>
                    <a:blip r:embed="rId19"/>
                    <a:stretch>
                      <a:fillRect/>
                    </a:stretch>
                  </pic:blipFill>
                  <pic:spPr>
                    <a:xfrm>
                      <a:off x="0" y="0"/>
                      <a:ext cx="6217920" cy="3803904"/>
                    </a:xfrm>
                    <a:prstGeom prst="rect"/>
                  </pic:spPr>
                </pic:pic>
              </a:graphicData>
            </a:graphic>
          </wp:inline>
        </w:drawing>
      </w:r>
    </w:p>
    <w:p>
      <w:pPr>
        <w:spacing w:after="160"/>
        <w:jc w:val="center"/>
      </w:pPr>
      <w:r>
        <w:rPr>
          <w:rFonts w:ascii="Liberation Sans" w:hAnsi="Liberation Sans"/>
          <w:i/>
          <w:color w:val="64748B"/>
          <w:sz w:val="16"/>
        </w:rPr>
        <w:t>Figure 7. Memory footprint at 1,048,576 candidates.</w:t>
      </w:r>
    </w:p>
    <w:p>
      <w:pPr>
        <w:spacing w:after="60"/>
        <w:jc w:val="center"/>
      </w:pPr>
      <w:r>
        <w:drawing>
          <wp:inline xmlns:a="http://schemas.openxmlformats.org/drawingml/2006/main" xmlns:pic="http://schemas.openxmlformats.org/drawingml/2006/picture">
            <wp:extent cx="6217920" cy="3803904"/>
            <wp:docPr id="9" name="Picture 9"/>
            <wp:cNvGraphicFramePr>
              <a:graphicFrameLocks noChangeAspect="1"/>
            </wp:cNvGraphicFramePr>
            <a:graphic>
              <a:graphicData uri="http://schemas.openxmlformats.org/drawingml/2006/picture">
                <pic:pic>
                  <pic:nvPicPr>
                    <pic:cNvPr id="0" name="compression_metrics.png"/>
                    <pic:cNvPicPr/>
                  </pic:nvPicPr>
                  <pic:blipFill>
                    <a:blip r:embed="rId20"/>
                    <a:stretch>
                      <a:fillRect/>
                    </a:stretch>
                  </pic:blipFill>
                  <pic:spPr>
                    <a:xfrm>
                      <a:off x="0" y="0"/>
                      <a:ext cx="6217920" cy="3803904"/>
                    </a:xfrm>
                    <a:prstGeom prst="rect"/>
                  </pic:spPr>
                </pic:pic>
              </a:graphicData>
            </a:graphic>
          </wp:inline>
        </w:drawing>
      </w:r>
    </w:p>
    <w:p>
      <w:pPr>
        <w:spacing w:after="160"/>
        <w:jc w:val="center"/>
      </w:pPr>
      <w:r>
        <w:rPr>
          <w:rFonts w:ascii="Liberation Sans" w:hAnsi="Liberation Sans"/>
          <w:i/>
          <w:color w:val="64748B"/>
          <w:sz w:val="16"/>
        </w:rPr>
        <w:t>Figure 8. Named compression gains. ECR and SNC depend on observed event yield and reconstructibility.</w:t>
      </w:r>
    </w:p>
    <w:p>
      <w:pPr>
        <w:pStyle w:val="Heading2"/>
      </w:pPr>
      <w:r>
        <w:t>9.1 Compression names and contracts</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259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Metric</w:t>
            </w:r>
          </w:p>
        </w:tc>
        <w:tc>
          <w:tcPr>
            <w:tcW w:type="dxa" w:w="3671"/>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Formula</w:t>
            </w:r>
          </w:p>
        </w:tc>
        <w:tc>
          <w:tcPr>
            <w:tcW w:type="dxa" w:w="460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What it does not mean</w:t>
            </w:r>
          </w:p>
        </w:tc>
      </w:tr>
      <w:tr>
        <w:trPr>
          <w:cantSplit/>
        </w:trPr>
        <w:tc>
          <w:tcPr>
            <w:tcW w:type="dxa" w:w="25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State Compression Ratio (SCR)</w:t>
            </w:r>
          </w:p>
        </w:tc>
        <w:tc>
          <w:tcPr>
            <w:tcW w:type="dxa" w:w="367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G64/E32 dense bytes / G32/E16 dense bytes</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Does not guarantee faster execution or equal numerical error.</w:t>
            </w:r>
          </w:p>
        </w:tc>
      </w:tr>
      <w:tr>
        <w:trPr>
          <w:cantSplit/>
        </w:trPr>
        <w:tc>
          <w:tcPr>
            <w:tcW w:type="dxa" w:w="25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Event Compaction Ratio (ECR)</w:t>
            </w:r>
          </w:p>
        </w:tc>
        <w:tc>
          <w:tcPr>
            <w:tcW w:type="dxa" w:w="367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dense output bytes / verified-only output bytes</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Does not include compaction-kernel time; depends on event yield.</w:t>
            </w:r>
          </w:p>
        </w:tc>
      </w:tr>
      <w:tr>
        <w:trPr>
          <w:cantSplit/>
        </w:trPr>
        <w:tc>
          <w:tcPr>
            <w:tcW w:type="dxa" w:w="25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State-plus-Novelty Compression (SNC)</w:t>
            </w:r>
          </w:p>
        </w:tc>
        <w:tc>
          <w:tcPr>
            <w:tcW w:type="dxa" w:w="367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G64/E32 dense / (G32 state + compact E16 events)</w:t>
            </w:r>
          </w:p>
        </w:tc>
        <w:tc>
          <w:tcPr>
            <w:tcW w:type="dxa" w:w="460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Requires packed-state validity and verified-event compaction.</w:t>
            </w:r>
          </w:p>
        </w:tc>
      </w:tr>
      <w:tr>
        <w:trPr>
          <w:cantSplit/>
        </w:trPr>
        <w:tc>
          <w:tcPr>
            <w:tcW w:type="dxa" w:w="25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Novelty-only retention</w:t>
            </w:r>
          </w:p>
        </w:tc>
        <w:tc>
          <w:tcPr>
            <w:tcW w:type="dxa" w:w="367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verified events x E16 bytes</w:t>
            </w:r>
          </w:p>
        </w:tc>
        <w:tc>
          <w:tcPr>
            <w:tcW w:type="dxa" w:w="460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Valid only when state is reconstructible or authoritative state lives elsewhere.</w:t>
            </w:r>
          </w:p>
        </w:tc>
      </w:tr>
    </w:tbl>
    <w:p>
      <w:pPr>
        <w:spacing w:after="0"/>
      </w:pPr>
    </w:p>
    <w:p>
      <w:pPr>
        <w:pStyle w:val="Heading2"/>
      </w:pPr>
      <w:r>
        <w:t>9.2 One-bit masks</w:t>
      </w:r>
    </w:p>
    <w:p>
      <w:pPr>
        <w:spacing w:after="120" w:line="259" w:lineRule="auto"/>
      </w:pPr>
      <w:r>
        <w:rPr>
          <w:rFonts w:ascii="Liberation Sans" w:hAnsi="Liberation Sans" w:eastAsia="Liberation Sans"/>
          <w:i w:val="0"/>
        </w:rPr>
        <w:t>A one-bit support mask for 1,048,576 candidates occupies 131,072 bytes (128 KiB). It can cache a predicate result, but it cannot replace continuous state, topology, confidence or lineage.</w:t>
      </w:r>
    </w:p>
    <w:p>
      <w:pPr>
        <w:pStyle w:val="Heading1"/>
      </w:pPr>
      <w:r>
        <w:t>10. Physical device architecture</w:t>
      </w:r>
    </w:p>
    <w:p>
      <w:pPr>
        <w:spacing w:after="60"/>
        <w:jc w:val="center"/>
      </w:pPr>
      <w:r>
        <w:drawing>
          <wp:inline xmlns:a="http://schemas.openxmlformats.org/drawingml/2006/main" xmlns:pic="http://schemas.openxmlformats.org/drawingml/2006/picture">
            <wp:extent cx="6400800" cy="437246"/>
            <wp:docPr id="10" name="Picture 10"/>
            <wp:cNvGraphicFramePr>
              <a:graphicFrameLocks noChangeAspect="1"/>
            </wp:cNvGraphicFramePr>
            <a:graphic>
              <a:graphicData uri="http://schemas.openxmlformats.org/drawingml/2006/picture">
                <pic:pic>
                  <pic:nvPicPr>
                    <pic:cNvPr id="0" name="hardware_pipeline.png"/>
                    <pic:cNvPicPr/>
                  </pic:nvPicPr>
                  <pic:blipFill>
                    <a:blip r:embed="rId21"/>
                    <a:stretch>
                      <a:fillRect/>
                    </a:stretch>
                  </pic:blipFill>
                  <pic:spPr>
                    <a:xfrm>
                      <a:off x="0" y="0"/>
                      <a:ext cx="6400800" cy="437246"/>
                    </a:xfrm>
                    <a:prstGeom prst="rect"/>
                  </pic:spPr>
                </pic:pic>
              </a:graphicData>
            </a:graphic>
          </wp:inline>
        </w:drawing>
      </w:r>
    </w:p>
    <w:p>
      <w:pPr>
        <w:spacing w:after="160"/>
        <w:jc w:val="center"/>
      </w:pPr>
      <w:r>
        <w:rPr>
          <w:rFonts w:ascii="Liberation Sans" w:hAnsi="Liberation Sans"/>
          <w:i/>
          <w:color w:val="64748B"/>
          <w:sz w:val="16"/>
        </w:rPr>
        <w:t>Figure 9. Fixed-function support-compatibility-guard-commit datapath for FPGA/ASIC or custom accelerators.</w:t>
      </w:r>
    </w:p>
    <w:p>
      <w:pPr>
        <w:pStyle w:val="Heading2"/>
      </w:pPr>
      <w:r>
        <w:t>10.1 Fixed-function digital endpoint</w:t>
      </w:r>
    </w:p>
    <w:p>
      <w:pPr>
        <w:spacing w:after="120" w:line="259" w:lineRule="auto"/>
      </w:pPr>
      <w:r>
        <w:rPr>
          <w:rFonts w:ascii="Liberation Sans" w:hAnsi="Liberation Sans" w:eastAsia="Liberation Sans"/>
          <w:i w:val="0"/>
        </w:rPr>
        <w:t>The hardware mapping accepts a state stream or SRAM-resident records, evaluates radial and angular support, checks topology/mode compatibility, tests a relation guard, applies confidence/SNR, updates route and lineage, then writes a verified-event FIFO or DMA stream. It can answer event queries without a display or game engine.</w:t>
      </w:r>
    </w:p>
    <w:p>
      <w:pPr>
        <w:pStyle w:val="Heading2"/>
      </w:pPr>
      <w:r>
        <w:t>10.2 Q16.16 squared gate</w:t>
      </w:r>
    </w:p>
    <w:p>
      <w:pPr>
        <w:spacing w:after="120" w:line="259" w:lineRule="auto"/>
      </w:pPr>
      <w:r>
        <w:rPr>
          <w:rFonts w:ascii="Liberation Sans" w:hAnsi="Liberation Sans" w:eastAsia="Liberation Sans"/>
          <w:i w:val="0"/>
        </w:rPr>
        <w:t>The bundled SystemVerilog reference avoids square roots. With a normalized axis, radial support uses r^2 &lt;= R^2 and angular support uses dot&gt;=0 plus dot^2 &gt;= cos^2(alpha)*r^2. The guard is specified in squared-distance units. For a radial band epsilon, a useful conversion is guard_sq = 2*R*epsilon + epsilon^2 before fixed-point quantization.</w:t>
      </w:r>
    </w:p>
    <w:p>
      <w:pPr>
        <w:pStyle w:val="Heading2"/>
      </w:pPr>
      <w:r>
        <w:t>10.3 Register and flow control</w:t>
      </w:r>
    </w:p>
    <w:p>
      <w:pPr>
        <w:spacing w:after="120" w:line="259" w:lineRule="auto"/>
      </w:pPr>
      <w:r>
        <w:rPr>
          <w:rFonts w:ascii="Liberation Sans" w:hAnsi="Liberation Sans" w:eastAsia="Liberation Sans"/>
          <w:i w:val="0"/>
        </w:rPr>
        <w:t>The portable register map exposes enable/reset/commit, target topology, mode bit, guard and confidence configuration, DMA bases, candidate count, four survivor counters, FIFO level, errors and timestamps. Production devices must use valid/ready flow control and treat FIFO overflow as a measurable missed-event condition.</w:t>
      </w:r>
    </w:p>
    <w:p>
      <w:pPr>
        <w:pStyle w:val="Heading2"/>
      </w:pPr>
      <w:r>
        <w:t>10.4 Optofluidic and waveguide endpoint</w:t>
      </w:r>
    </w:p>
    <w:p>
      <w:pPr>
        <w:spacing w:after="120" w:line="259" w:lineRule="auto"/>
      </w:pPr>
      <w:r>
        <w:rPr>
          <w:rFonts w:ascii="Liberation Sans" w:hAnsi="Liberation Sans" w:eastAsia="Liberation Sans"/>
          <w:i w:val="0"/>
        </w:rPr>
        <w:t>The source hardware line becomes a bounded optofluidic front end: a local radial-angular input is shaped by a liquid lens or overclad, coupled into a compatible guided mode, observed at a balanced detector and declared as a Bounded Compatibility Event only when a measured guard crosses. [S05 pp. 2-10]</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456"/>
        <w:gridCol w:w="3456"/>
        <w:gridCol w:w="3456"/>
      </w:tblGrid>
      <w:tr>
        <w:trPr>
          <w:tblHeader w:val="true"/>
        </w:trPr>
        <w:tc>
          <w:tcPr>
            <w:tcW w:type="dxa" w:w="18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Physical layer</w:t>
            </w:r>
          </w:p>
        </w:tc>
        <w:tc>
          <w:tcPr>
            <w:tcW w:type="dxa" w:w="36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Authoritative model</w:t>
            </w:r>
          </w:p>
        </w:tc>
        <w:tc>
          <w:tcPr>
            <w:tcW w:type="dxa" w:w="54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Substrate responsibility</w:t>
            </w:r>
          </w:p>
        </w:tc>
      </w:tr>
      <w:tr>
        <w:trPr>
          <w:cantSplit/>
        </w:trPr>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Optical field</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Maxwell equations</w:t>
            </w:r>
          </w:p>
        </w:tc>
        <w:tc>
          <w:tcPr>
            <w:tcW w:type="dxa" w:w="54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Input support and declared measurement sector.</w:t>
            </w:r>
          </w:p>
        </w:tc>
      </w:tr>
      <w:tr>
        <w:trPr>
          <w:cantSplit/>
        </w:trPr>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Liquid interface</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Young-Laplace; fluid mechanics when transient</w:t>
            </w:r>
          </w:p>
        </w:tc>
        <w:tc>
          <w:tcPr>
            <w:tcW w:type="dxa" w:w="54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Actuator state, calibration and uncertainty.</w:t>
            </w:r>
          </w:p>
        </w:tc>
      </w:tr>
      <w:tr>
        <w:trPr>
          <w:cantSplit/>
        </w:trPr>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Guided modes</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Coupled-mode theory</w:t>
            </w:r>
          </w:p>
        </w:tc>
        <w:tc>
          <w:tcPr>
            <w:tcW w:type="dxa" w:w="54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Mode compatibility and transfer-state tags.</w:t>
            </w:r>
          </w:p>
        </w:tc>
      </w:tr>
      <w:tr>
        <w:trPr>
          <w:cantSplit/>
        </w:trPr>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Detection</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Detector/electronics noise and bandwidth</w:t>
            </w:r>
          </w:p>
        </w:tc>
        <w:tc>
          <w:tcPr>
            <w:tcW w:type="dxa" w:w="54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Guard, confidence, event timestamp and lineage.</w:t>
            </w:r>
          </w:p>
        </w:tc>
      </w:tr>
      <w:tr>
        <w:trPr>
          <w:cantSplit/>
        </w:trPr>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Topology label</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Explicit ports, orientation and transfer map</w:t>
            </w:r>
          </w:p>
        </w:tc>
        <w:tc>
          <w:tcPr>
            <w:tcW w:type="dxa" w:w="54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Routing abstraction only; no substitute for physics.</w:t>
            </w:r>
          </w:p>
        </w:tc>
      </w:tr>
    </w:tbl>
    <w:p>
      <w:pPr>
        <w:spacing w:after="0"/>
      </w:pPr>
    </w:p>
    <w:p>
      <w:pPr>
        <w:pStyle w:val="Heading2"/>
      </w:pPr>
      <w:r>
        <w:t>10.5 Hardware metrics</w:t>
      </w:r>
    </w:p>
    <w:p>
      <w:pPr>
        <w:spacing w:after="120" w:line="259" w:lineRule="auto"/>
      </w:pPr>
      <w:r>
        <w:rPr>
          <w:rFonts w:ascii="Liberation Sans" w:hAnsi="Liberation Sans" w:eastAsia="Liberation Sans"/>
          <w:i w:val="0"/>
        </w:rPr>
        <w:t>A physical device must report verified events/s, events/J, insertion loss, support and compatibility rejection, median/tail latency, false/missed events, timing jitter, drift, calibration interval, buffer memory and full-system energy. Propagation speed alone is not throughput.</w:t>
      </w:r>
    </w:p>
    <w:p>
      <w:pPr>
        <w:pStyle w:val="Heading1"/>
      </w:pPr>
      <w:r>
        <w:t>11. Validation, corrections and kill criteria</w:t>
      </w:r>
    </w:p>
    <w:p>
      <w:pPr>
        <w:pStyle w:val="Heading2"/>
      </w:pPr>
      <w:r>
        <w:t>11.1 Validation completed in this package</w:t>
      </w:r>
    </w:p>
    <w:p>
      <w:pPr>
        <w:pStyle w:val="ListBullet"/>
        <w:spacing w:after="60" w:line="252" w:lineRule="auto"/>
      </w:pPr>
      <w:r>
        <w:rPr>
          <w:rFonts w:ascii="Liberation Sans" w:hAnsi="Liberation Sans" w:eastAsia="Liberation Sans"/>
        </w:rPr>
        <w:t>Four SPIR-V modules parsed with the declared entry point, workgroup and descriptor decorations.</w:t>
      </w:r>
    </w:p>
    <w:p>
      <w:pPr>
        <w:pStyle w:val="ListBullet"/>
        <w:spacing w:after="60" w:line="252" w:lineRule="auto"/>
      </w:pPr>
      <w:r>
        <w:rPr>
          <w:rFonts w:ascii="Liberation Sans" w:hAnsi="Liberation Sans" w:eastAsia="Liberation Sans"/>
        </w:rPr>
        <w:t>Direct Vulkan shader-module and compute-pipeline creation completed.</w:t>
      </w:r>
    </w:p>
    <w:p>
      <w:pPr>
        <w:pStyle w:val="ListBullet"/>
        <w:spacing w:after="60" w:line="252" w:lineRule="auto"/>
      </w:pPr>
      <w:r>
        <w:rPr>
          <w:rFonts w:ascii="Liberation Sans" w:hAnsi="Liberation Sans" w:eastAsia="Liberation Sans"/>
        </w:rPr>
        <w:t>Pipeline-cache extraction and reload completed for all four programs.</w:t>
      </w:r>
    </w:p>
    <w:p>
      <w:pPr>
        <w:pStyle w:val="ListBullet"/>
        <w:spacing w:after="60" w:line="252" w:lineRule="auto"/>
      </w:pPr>
      <w:r>
        <w:rPr>
          <w:rFonts w:ascii="Liberation Sans" w:hAnsi="Liberation Sans" w:eastAsia="Liberation Sans"/>
        </w:rPr>
        <w:t>Device-timestamped dispatch completed at four batch sizes for four profile/mode combinations.</w:t>
      </w:r>
    </w:p>
    <w:p>
      <w:pPr>
        <w:pStyle w:val="ListBullet"/>
        <w:spacing w:after="60" w:line="252" w:lineRule="auto"/>
      </w:pPr>
      <w:r>
        <w:rPr>
          <w:rFonts w:ascii="Liberation Sans" w:hAnsi="Liberation Sans" w:eastAsia="Liberation Sans"/>
        </w:rPr>
        <w:t>All counter totals matched the CPU oracle.</w:t>
      </w:r>
    </w:p>
    <w:p>
      <w:pPr>
        <w:pStyle w:val="ListBullet"/>
        <w:spacing w:after="60" w:line="252" w:lineRule="auto"/>
      </w:pPr>
      <w:r>
        <w:rPr>
          <w:rFonts w:ascii="Liberation Sans" w:hAnsi="Liberation Sans" w:eastAsia="Liberation Sans"/>
        </w:rPr>
        <w:t>The first 4096 event records matched the CPU oracle for every benchmark case.</w:t>
      </w:r>
    </w:p>
    <w:p>
      <w:pPr>
        <w:pStyle w:val="ListBullet"/>
        <w:spacing w:after="60" w:line="252" w:lineRule="auto"/>
      </w:pPr>
      <w:r>
        <w:rPr>
          <w:rFonts w:ascii="Liberation Sans" w:hAnsi="Liberation Sans" w:eastAsia="Liberation Sans"/>
        </w:rPr>
        <w:t>18 dependency-free reference tests passed.</w:t>
      </w:r>
    </w:p>
    <w:p>
      <w:pPr>
        <w:pStyle w:val="ListBullet"/>
        <w:spacing w:after="60" w:line="252" w:lineRule="auto"/>
      </w:pPr>
      <w:r>
        <w:rPr>
          <w:rFonts w:ascii="Liberation Sans" w:hAnsi="Liberation Sans" w:eastAsia="Liberation Sans"/>
        </w:rPr>
        <w:t>Device type was detected as CPU/software and physical_gpu_claim was recorded as false.</w:t>
      </w:r>
    </w:p>
    <w:p>
      <w:pPr>
        <w:pStyle w:val="Heading2"/>
      </w:pPr>
      <w:r>
        <w:t>11.2 Corrections that preserve the useful substrate</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5184"/>
        <w:gridCol w:w="5184"/>
      </w:tblGrid>
      <w:tr>
        <w:trPr>
          <w:tblHeader w:val="true"/>
        </w:trPr>
        <w:tc>
          <w:tcPr>
            <w:tcW w:type="dxa" w:w="3311"/>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Source claim/motif</w:t>
            </w:r>
          </w:p>
        </w:tc>
        <w:tc>
          <w:tcPr>
            <w:tcW w:type="dxa" w:w="72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Technical correction</w:t>
            </w:r>
          </w:p>
        </w:tc>
      </w:tr>
      <w:tr>
        <w:trPr>
          <w:cantSplit/>
        </w:trPr>
        <w:tc>
          <w:tcPr>
            <w:tcW w:type="dxa" w:w="331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100% equals 36</w:t>
            </w:r>
          </w:p>
        </w:tc>
        <w:tc>
          <w:tcPr>
            <w:tcW w:type="dxa" w:w="72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Standard value is 1; 36 belongs to a versioned custom glyph encoder.</w:t>
            </w:r>
          </w:p>
        </w:tc>
      </w:tr>
      <w:tr>
        <w:trPr>
          <w:cantSplit/>
        </w:trPr>
        <w:tc>
          <w:tcPr>
            <w:tcW w:type="dxa" w:w="331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1.5 as a fractional bit shift</w:t>
            </w:r>
          </w:p>
        </w:tc>
        <w:tc>
          <w:tcPr>
            <w:tcW w:type="dxa" w:w="72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Use multiplication or log2 displacement 0.5849625007.</w:t>
            </w:r>
          </w:p>
        </w:tc>
      </w:tr>
      <w:tr>
        <w:trPr>
          <w:cantSplit/>
        </w:trPr>
        <w:tc>
          <w:tcPr>
            <w:tcW w:type="dxa" w:w="331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0.680 bits -&gt; 202.74 J</w:t>
            </w:r>
          </w:p>
        </w:tc>
        <w:tc>
          <w:tcPr>
            <w:tcW w:type="dxa" w:w="72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Dimensionally unsupported; energy requires a declared physical process and temperature.</w:t>
            </w:r>
          </w:p>
        </w:tc>
      </w:tr>
      <w:tr>
        <w:trPr>
          <w:cantSplit/>
        </w:trPr>
        <w:tc>
          <w:tcPr>
            <w:tcW w:type="dxa" w:w="331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Absolute vacuum cup/pinion</w:t>
            </w:r>
          </w:p>
        </w:tc>
        <w:tc>
          <w:tcPr>
            <w:tcW w:type="dxa" w:w="72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Pythagorean siphon normalized as threshold/reset with loss and hysteresis.</w:t>
            </w:r>
          </w:p>
        </w:tc>
      </w:tr>
      <w:tr>
        <w:trPr>
          <w:cantSplit/>
        </w:trPr>
        <w:tc>
          <w:tcPr>
            <w:tcW w:type="dxa" w:w="331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Klein bottle self-assembly</w:t>
            </w:r>
          </w:p>
        </w:tc>
        <w:tc>
          <w:tcPr>
            <w:tcW w:type="dxa" w:w="72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Retain only explicit quotient/gluing and routing abstraction.</w:t>
            </w:r>
          </w:p>
        </w:tc>
      </w:tr>
      <w:tr>
        <w:trPr>
          <w:cantSplit/>
        </w:trPr>
        <w:tc>
          <w:tcPr>
            <w:tcW w:type="dxa" w:w="331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One bit is complete state</w:t>
            </w:r>
          </w:p>
        </w:tc>
        <w:tc>
          <w:tcPr>
            <w:tcW w:type="dxa" w:w="72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One bit selects route/validity; continuous state, uncertainty and lineage remain.</w:t>
            </w:r>
          </w:p>
        </w:tc>
      </w:tr>
      <w:tr>
        <w:trPr>
          <w:cantSplit/>
        </w:trPr>
        <w:tc>
          <w:tcPr>
            <w:tcW w:type="dxa" w:w="3311"/>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Zero latency/heat/memory</w:t>
            </w:r>
          </w:p>
        </w:tc>
        <w:tc>
          <w:tcPr>
            <w:tcW w:type="dxa" w:w="72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Include compiler, cache, state, event log, source, actuator, detector, control and calibration.</w:t>
            </w:r>
          </w:p>
        </w:tc>
      </w:tr>
      <w:tr>
        <w:trPr>
          <w:cantSplit/>
        </w:trPr>
        <w:tc>
          <w:tcPr>
            <w:tcW w:type="dxa" w:w="3311"/>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Universal O(1)</w:t>
            </w:r>
          </w:p>
        </w:tc>
        <w:tc>
          <w:tcPr>
            <w:tcW w:type="dxa" w:w="72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Only fixed closed-expression state queries may be horizon-independent; event and branch costs remain.</w:t>
            </w:r>
          </w:p>
        </w:tc>
      </w:tr>
    </w:tbl>
    <w:p>
      <w:pPr>
        <w:spacing w:after="0"/>
      </w:pPr>
    </w:p>
    <w:p>
      <w:pPr>
        <w:pStyle w:val="Heading2"/>
      </w:pPr>
      <w:r>
        <w:t>11.3 Kill criteria</w:t>
      </w:r>
    </w:p>
    <w:p>
      <w:pPr>
        <w:pStyle w:val="ListBullet"/>
        <w:spacing w:after="60" w:line="252" w:lineRule="auto"/>
      </w:pPr>
      <w:r>
        <w:rPr>
          <w:rFonts w:ascii="Liberation Sans" w:hAnsi="Liberation Sans" w:eastAsia="Liberation Sans"/>
        </w:rPr>
        <w:t>Compatibility pruning fails to remove enough candidate relations.</w:t>
      </w:r>
    </w:p>
    <w:p>
      <w:pPr>
        <w:pStyle w:val="ListBullet"/>
        <w:spacing w:after="60" w:line="252" w:lineRule="auto"/>
      </w:pPr>
      <w:r>
        <w:rPr>
          <w:rFonts w:ascii="Liberation Sans" w:hAnsi="Liberation Sans" w:eastAsia="Liberation Sans"/>
        </w:rPr>
        <w:t>Event or branch density grows faster than avoided materialization.</w:t>
      </w:r>
    </w:p>
    <w:p>
      <w:pPr>
        <w:pStyle w:val="ListBullet"/>
        <w:spacing w:after="60" w:line="252" w:lineRule="auto"/>
      </w:pPr>
      <w:r>
        <w:rPr>
          <w:rFonts w:ascii="Liberation Sans" w:hAnsi="Liberation Sans" w:eastAsia="Liberation Sans"/>
        </w:rPr>
        <w:t>FP16/fixed-point error exceeds the guard margin or changes event ordering.</w:t>
      </w:r>
    </w:p>
    <w:p>
      <w:pPr>
        <w:pStyle w:val="ListBullet"/>
        <w:spacing w:after="60" w:line="252" w:lineRule="auto"/>
      </w:pPr>
      <w:r>
        <w:rPr>
          <w:rFonts w:ascii="Liberation Sans" w:hAnsi="Liberation Sans" w:eastAsia="Liberation Sans"/>
        </w:rPr>
        <w:t>Global atomic commit, compaction or FIFO backpressure dominates required throughput.</w:t>
      </w:r>
    </w:p>
    <w:p>
      <w:pPr>
        <w:pStyle w:val="ListBullet"/>
        <w:spacing w:after="60" w:line="252" w:lineRule="auto"/>
      </w:pPr>
      <w:r>
        <w:rPr>
          <w:rFonts w:ascii="Liberation Sans" w:hAnsi="Liberation Sans" w:eastAsia="Liberation Sans"/>
        </w:rPr>
        <w:t>Calibration energy/time or drift erases the physical advantage.</w:t>
      </w:r>
    </w:p>
    <w:p>
      <w:pPr>
        <w:pStyle w:val="ListBullet"/>
        <w:spacing w:after="60" w:line="252" w:lineRule="auto"/>
      </w:pPr>
      <w:r>
        <w:rPr>
          <w:rFonts w:ascii="Liberation Sans" w:hAnsi="Liberation Sans" w:eastAsia="Liberation Sans"/>
        </w:rPr>
        <w:t>False accepts, false rejects, misses or unordered events exceed the application budget.</w:t>
      </w:r>
    </w:p>
    <w:p>
      <w:pPr>
        <w:pStyle w:val="ListBullet"/>
        <w:spacing w:after="60" w:line="252" w:lineRule="auto"/>
      </w:pPr>
      <w:r>
        <w:rPr>
          <w:rFonts w:ascii="Liberation Sans" w:hAnsi="Liberation Sans" w:eastAsia="Liberation Sans"/>
        </w:rPr>
        <w:t>The digital control sidecar performs nearly all useful work.</w:t>
      </w:r>
    </w:p>
    <w:p>
      <w:pPr>
        <w:pStyle w:val="ListBullet"/>
        <w:spacing w:after="60" w:line="252" w:lineRule="auto"/>
      </w:pPr>
      <w:r>
        <w:rPr>
          <w:rFonts w:ascii="Liberation Sans" w:hAnsi="Liberation Sans" w:eastAsia="Liberation Sans"/>
        </w:rPr>
        <w:t>A conventional electronic reference is cheaper, faster or more accurate at equal error.</w:t>
      </w:r>
    </w:p>
    <w:p>
      <w:pPr>
        <w:pStyle w:val="Heading1"/>
      </w:pPr>
      <w:r>
        <w:t>12. Implementation and reproduction</w:t>
      </w:r>
    </w:p>
    <w:p>
      <w:pPr>
        <w:pStyle w:val="Heading2"/>
      </w:pPr>
      <w:r>
        <w:t>12.1 Package layout</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5184"/>
        <w:gridCol w:w="5184"/>
      </w:tblGrid>
      <w:tr>
        <w:trPr>
          <w:tblHeader w:val="true"/>
        </w:trPr>
        <w:tc>
          <w:tcPr>
            <w:tcW w:type="dxa" w:w="187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Path</w:t>
            </w:r>
          </w:p>
        </w:tc>
        <w:tc>
          <w:tcPr>
            <w:tcW w:type="dxa" w:w="86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6"/>
              </w:rPr>
              <w:t>Purpose</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spec/</w:t>
            </w:r>
          </w:p>
        </w:tc>
        <w:tc>
          <w:tcPr>
            <w:tcW w:type="dxa" w:w="86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197-mechanism catalog, schema, ABI layout, metrics and claims ledger.</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gpu/</w:t>
            </w:r>
          </w:p>
        </w:tc>
        <w:tc>
          <w:tcPr>
            <w:tcW w:type="dxa" w:w="86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Shaders, SPIR-V, direct Vulkan runtime, bootstrap compiler, caches and scripts.</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reference/</w:t>
            </w:r>
          </w:p>
        </w:tc>
        <w:tc>
          <w:tcPr>
            <w:tcW w:type="dxa" w:w="86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Dependency-free CPU oracle and binary packers.</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tests/</w:t>
            </w:r>
          </w:p>
        </w:tc>
        <w:tc>
          <w:tcPr>
            <w:tcW w:type="dxa" w:w="86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18 executable unit tests.</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benchmarks/</w:t>
            </w:r>
          </w:p>
        </w:tc>
        <w:tc>
          <w:tcPr>
            <w:tcW w:type="dxa" w:w="86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Raw JSON/CSV, derived metrics, plots and summaries.</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hardware/</w:t>
            </w:r>
          </w:p>
        </w:tc>
        <w:tc>
          <w:tcPr>
            <w:tcW w:type="dxa" w:w="86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Device architecture, register map, acceptance plan and RTL reference.</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sources/</w:t>
            </w:r>
          </w:p>
        </w:tc>
        <w:tc>
          <w:tcPr>
            <w:tcW w:type="dxa" w:w="86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Privacy-safe source register and extraction notes.</w:t>
            </w:r>
          </w:p>
        </w:tc>
      </w:tr>
      <w:tr>
        <w:trPr>
          <w:cantSplit/>
        </w:trPr>
        <w:tc>
          <w:tcPr>
            <w:tcW w:type="dxa" w:w="18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examples/</w:t>
            </w:r>
          </w:p>
        </w:tc>
        <w:tc>
          <w:tcPr>
            <w:tcW w:type="dxa" w:w="86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6"/>
              </w:rPr>
              <w:t>Query/event examples and custom encoder variants.</w:t>
            </w:r>
          </w:p>
        </w:tc>
      </w:tr>
      <w:tr>
        <w:trPr>
          <w:cantSplit/>
        </w:trPr>
        <w:tc>
          <w:tcPr>
            <w:tcW w:type="dxa" w:w="18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report/</w:t>
            </w:r>
          </w:p>
        </w:tc>
        <w:tc>
          <w:tcPr>
            <w:tcW w:type="dxa" w:w="86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6"/>
              </w:rPr>
              <w:t>This report and source document.</w:t>
            </w:r>
          </w:p>
        </w:tc>
      </w:tr>
    </w:tbl>
    <w:p>
      <w:pPr>
        <w:spacing w:after="0"/>
      </w:pPr>
    </w:p>
    <w:p>
      <w:pPr>
        <w:pStyle w:val="Heading2"/>
      </w:pPr>
      <w:r>
        <w:t>12.2 Reproduction commands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0368"/>
      </w:tblGrid>
      <w:tr>
        <w:tc>
          <w:tcPr>
            <w:tcW w:type="dxa" w:w="10368"/>
            <w:shd w:fill="F5F7FA"/>
            <w:tcMar>
              <w:top w:w="100" w:type="dxa"/>
              <w:start w:w="120" w:type="dxa"/>
              <w:bottom w:w="100" w:type="dxa"/>
              <w:end w:w="120" w:type="dxa"/>
            </w:tcMar>
          </w:tcPr>
          <w:p>
            <w:pPr>
              <w:spacing w:after="0" w:line="240" w:lineRule="auto"/>
            </w:pPr>
            <w:r/>
            <w:r>
              <w:rPr>
                <w:rFonts w:ascii="Liberation Mono" w:hAnsi="Liberation Mono" w:eastAsia="Liberation Mono"/>
                <w:color w:val="1F2937"/>
                <w:sz w:val="16"/>
              </w:rPr>
              <w:t>python -m unittest discover -s tests -v</w:t>
            </w:r>
            <w:r>
              <w:br/>
            </w:r>
            <w:r>
              <w:rPr>
                <w:rFonts w:ascii="Liberation Mono" w:hAnsi="Liberation Mono" w:eastAsia="Liberation Mono"/>
                <w:color w:val="1F2937"/>
                <w:sz w:val="16"/>
              </w:rPr>
              <w:t>bash gpu/scripts/run_all_validation.sh</w:t>
            </w:r>
          </w:p>
        </w:tc>
      </w:tr>
    </w:tbl>
    <w:p>
      <w:pPr>
        <w:spacing w:after="0"/>
      </w:pPr>
    </w:p>
    <w:p>
      <w:pPr>
        <w:spacing w:after="120" w:line="259" w:lineRule="auto"/>
      </w:pPr>
      <w:r>
        <w:rPr>
          <w:rFonts w:ascii="Liberation Sans" w:hAnsi="Liberation Sans" w:eastAsia="Liberation Sans"/>
          <w:i w:val="0"/>
        </w:rPr>
        <w:t>On a physical Vulkan machine, unset `VK_ICD_FILENAMES` or point it at the vendor ICD, then rerun the direct benchmark. Record the selected device, driver, power mode and thermal state. Do not compare rates across devices without preserving profile, mode, batch size, precision and error budget.</w:t>
      </w:r>
    </w:p>
    <w:p>
      <w:pPr>
        <w:pStyle w:val="Heading2"/>
      </w:pPr>
      <w:r>
        <w:t>12.3 Acceptance sequence</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5184"/>
        <w:gridCol w:w="5184"/>
      </w:tblGrid>
      <w:tr>
        <w:trPr>
          <w:tblHeader w:val="true"/>
        </w:trPr>
        <w:tc>
          <w:tcPr>
            <w:tcW w:type="dxa" w:w="525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Steps 1-7</w:t>
            </w:r>
          </w:p>
        </w:tc>
        <w:tc>
          <w:tcPr>
            <w:tcW w:type="dxa" w:w="525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5"/>
              </w:rPr>
              <w:t>Steps 2-8</w:t>
            </w:r>
          </w:p>
        </w:tc>
      </w:tr>
      <w:tr>
        <w:trPr>
          <w:cantSplit/>
        </w:trPr>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1. Select encoder and numeric profile.</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2. Validate state ranges, axis normalization and guard margins.</w:t>
            </w:r>
          </w:p>
        </w:tc>
      </w:tr>
      <w:tr>
        <w:trPr>
          <w:cantSplit/>
        </w:trPr>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3. Compile and hash the SPIR-V modules.</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4. Create the Vulkan pipeline and persist the cache.</w:t>
            </w:r>
          </w:p>
        </w:tc>
      </w:tr>
      <w:tr>
        <w:trPr>
          <w:cantSplit/>
        </w:trPr>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5. Run deterministic oracle vectors.</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5"/>
              </w:rPr>
              <w:t>6. Benchmark p50/p95/p99 and named rates.</w:t>
            </w:r>
          </w:p>
        </w:tc>
      </w:tr>
      <w:tr>
        <w:trPr>
          <w:cantSplit/>
        </w:trPr>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7. Measure memory, compaction and full energy.</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5"/>
              </w:rPr>
              <w:t>8. Apply kill criteria before promoting a claim.</w:t>
            </w:r>
          </w:p>
        </w:tc>
      </w:tr>
    </w:tbl>
    <w:p>
      <w:pPr>
        <w:spacing w:after="0"/>
      </w:pPr>
    </w:p>
    <w:p>
      <w:pPr>
        <w:sectPr>
          <w:headerReference w:type="default" r:id="rId9"/>
          <w:footerReference w:type="default" r:id="rId10"/>
          <w:headerReference w:type="first" r:id="rId11"/>
          <w:footerReference w:type="first" r:id="rId12"/>
          <w:pgSz w:w="12240" w:h="15840"/>
          <w:pgMar w:top="936" w:right="936" w:bottom="864" w:left="936" w:header="720" w:footer="720" w:gutter="0"/>
          <w:cols w:space="720"/>
          <w:titlePg/>
          <w:docGrid w:linePitch="360"/>
        </w:sectPr>
      </w:pPr>
    </w:p>
    <w:p>
      <w:pPr>
        <w:pStyle w:val="Heading1"/>
      </w:pPr>
      <w:r>
        <w:t>Appendix A. Complete 197-mechanism catalog</w:t>
      </w:r>
    </w:p>
    <w:p>
      <w:pPr>
        <w:spacing w:after="120" w:line="259" w:lineRule="auto"/>
      </w:pPr>
      <w:r>
        <w:rPr>
          <w:rFonts w:ascii="Liberation Sans" w:hAnsi="Liberation Sans" w:eastAsia="Liberation Sans"/>
          <w:i w:val="0"/>
          <w:sz w:val="16"/>
        </w:rPr>
        <w:t>Each row is an atomic extracted or normalized mechanism. Source references use the privacy-safe S01-S10 register. Disposition and validation state prevent exploratory material from being confused with implemented or established operators.</w:t>
      </w:r>
    </w:p>
    <w:tbl>
      <w:tblPr>
        <w:tblW w:type="auto" w:w="0"/>
        <w:jc w:val="center"/>
        <w:tblLayout w:type="fixed"/>
        <w:tblLook w:firstColumn="1" w:firstRow="1" w:lastColumn="0" w:lastRow="0" w:noHBand="0" w:noVBand="1" w:val="04A0"/>
        <w:tblBorders>
          <w:top w:val="single" w:sz="3" w:space="0" w:color="D4DCE2"/>
          <w:left w:val="single" w:sz="3" w:space="0" w:color="D4DCE2"/>
          <w:bottom w:val="single" w:sz="3" w:space="0" w:color="D4DCE2"/>
          <w:right w:val="single" w:sz="3" w:space="0" w:color="D4DCE2"/>
          <w:insideH w:val="single" w:sz="3" w:space="0" w:color="D4DCE2"/>
          <w:insideV w:val="single" w:sz="3" w:space="0" w:color="D4DCE2"/>
        </w:tblBorders>
      </w:tblPr>
      <w:tblGrid>
        <w:gridCol w:w="2119"/>
        <w:gridCol w:w="2119"/>
        <w:gridCol w:w="2119"/>
        <w:gridCol w:w="2119"/>
        <w:gridCol w:w="2119"/>
        <w:gridCol w:w="2119"/>
        <w:gridCol w:w="2119"/>
      </w:tblGrid>
      <w:tr>
        <w:trPr>
          <w:tblHeader w:val="true"/>
        </w:trPr>
        <w:tc>
          <w:tcPr>
            <w:tcW w:type="dxa" w:w="604"/>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ID</w:t>
            </w:r>
          </w:p>
        </w:tc>
        <w:tc>
          <w:tcPr>
            <w:tcW w:type="dxa" w:w="1512"/>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Domain</w:t>
            </w:r>
          </w:p>
        </w:tc>
        <w:tc>
          <w:tcPr>
            <w:tcW w:type="dxa" w:w="2232"/>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Mechanism</w:t>
            </w:r>
          </w:p>
        </w:tc>
        <w:tc>
          <w:tcPr>
            <w:tcW w:type="dxa" w:w="1440"/>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Source</w:t>
            </w:r>
          </w:p>
        </w:tc>
        <w:tc>
          <w:tcPr>
            <w:tcW w:type="dxa" w:w="5760"/>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Normalized technical definition</w:t>
            </w:r>
          </w:p>
        </w:tc>
        <w:tc>
          <w:tcPr>
            <w:tcW w:type="dxa" w:w="1123"/>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Disposition</w:t>
            </w:r>
          </w:p>
        </w:tc>
        <w:tc>
          <w:tcPr>
            <w:tcW w:type="dxa" w:w="1800"/>
            <w:vAlign w:val="center"/>
            <w:shd w:fill="0B2A3B"/>
            <w:tcMar>
              <w:top w:w="35" w:type="dxa"/>
              <w:start w:w="45" w:type="dxa"/>
              <w:bottom w:w="35" w:type="dxa"/>
              <w:end w:w="45" w:type="dxa"/>
            </w:tcMar>
          </w:tcPr>
          <w:p>
            <w:pPr>
              <w:spacing w:after="0" w:before="0" w:line="240" w:lineRule="auto"/>
            </w:pPr>
            <w:r/>
            <w:r>
              <w:rPr>
                <w:rFonts w:ascii="Liberation Sans" w:hAnsi="Liberation Sans" w:eastAsia="Liberation Sans"/>
                <w:b/>
                <w:color w:val="FFFFFF"/>
                <w:sz w:val="13"/>
              </w:rPr>
              <w:t>Validation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M001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Radix digit threshold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S09 pp.1–3</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digit-count transition occurs at b^k in radix b.</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M002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Positional power weighting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S09 pp.1–4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Value is Σ digit_k·b^k.</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M003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Literal binary glyph parse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pp.2–4; S09 pp.3–4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Parser mode is part of the schema; `100₂=4₁₀`.</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M004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Left-shift pulse placement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pp.4–9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 pulse at bit position k has value 2^k.</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M005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Zero-based offset/ordinal distinction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S02 pp.1–4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Offset is zero-based; ordinal is offset+1.</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M006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Active-bit filtering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S09 pp.4–6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Extract set-bit positions or popcount; never change numeric identity silently.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M007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Zero as inactive/silence metadata</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S09 pp.4–5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domain-specific interpretation attached to bit state, not arithmetic.</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Schema-dependent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M008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Binary 19 decomposition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S09 pp.3–5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19 = 16+2+1; Hamming weight 3.</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M009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Phonetic-to-active-count map</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S09 pp.4–7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Associate an external label count with popcount under a declared language/tokenizer.</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Corpus-specific</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M010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Numeric/fractal</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Pascal parity recurrence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S09 pp.6–9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Cell parity is C(n,k) mod 2.</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M011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Numeric/fractal</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Sierpiński generation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S09 pp.6–14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Binary parity recurrence yields self-similar triangular occupancy.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M012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Numeric/fractal</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Combination count C(5,3)</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S09 p.6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Combinatorial count is 10; it is separate from value 19.</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M013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Numeric/fractal</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Power-of-two scale boundary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S09 pp.1–9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Dyadic levels define exact multiresolution boundaries.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M014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Standard percent semantics boundary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pp.1,7–8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Default mathematical parser returns 1.0.</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M015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Percent loop decomposition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pp.2–4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Represent glyph as two loop primitives and one slash/stem primitive.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M016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Slash/phi removal operator</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pp.2–4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Delete the slash primitive under an explicit glyph rewrite rule.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Rule-defined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M017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Open-loop terminal suppression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pp.6–9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source-specific encoder suppresses the final active bit when the terminal loop is open.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Custom rule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M018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100100 concatenation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pp.6–9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Concatenate two 3-bit pulse words to a 6-bit word.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 under custom schema</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M019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Two-pulse timeline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pp.9–10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Treat set-bit clusters as two events separated by an address interval.</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Deterministic</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M020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encoder</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Pulse superposition by OR</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pp.6–10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Combine non-overlapping pulse masks with bitwise OR.</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M021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Explicit-width complement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pp.18–22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Complement must specify width and mask; topology route is not unbounded `~x`.</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 when width declared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M022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Fractional scale correction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pp.11–16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Multiplication by 1.5 corresponds to a log2 displacement of log2(1.5), not an integer bit shift.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M023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Packed fixed-width record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 pp.27–34; S07 pp.26–34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State fields have declared widths, scales and schemas.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M024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Numeric/encoding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Fixed-point financial boundary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 pp.27–30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fixed-point/decimal for exact currency-like quantities; unrelated to geometry unless typed.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Established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M025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Topology/control</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One-bit parity narrow role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pp.2,7; S03 pp.5–7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One bit selects a route, orientation or validity convention; continuous state remains separate.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M026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Topology/control</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One-bit support mask</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 bit masks candidate sectors; it does not encode full geometry.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M027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Topology/control</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Deterministic jitter seed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pp.7–10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Pseudo-random sequence is keyed by lineage/address for replay.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M028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D-to-R cut and unroll</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 curve segment changes constraint class from loop arc to open segment while upper loop remains.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M029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Glyph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B-to-R lower-loop unfurl</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p.1</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Release one loop edge and map it to an open leg.</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M030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Phi loop-plus-stem decomposition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Primitive graph with loop node and axial segment.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M031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Stem as cutting/rotation axis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Axis defines local frame, cut plane and rotational reference.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M032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Side-view pyramid as delta triangle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a 2D triangular cross-section for a conical/pyramidal support.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M033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Delta-T changing axis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pp.2–4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Store reference axis and time derivative separately.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M034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Loop-to-line release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pp.2–4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 flag selects closed relation vs open parametric segment.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 as route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M035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Localized parity hinge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pp.3–4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graph edge toggles while a pivot node remains invariant.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M036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Field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Global hinge everywhere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pp.7–8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 field parameter switches or blends two implicit functions over the domain.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M037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Split zero-centered oval</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S02 pp.10–12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Two half-curves share a zero-displacement boundary.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M038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Antisymmetric torsional wave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S02 pp.12–13</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Opposite signed displacement about the central hinge.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model dependent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M039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2π unrolled into two π arches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S02 pp.13–15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Partition a periodic path into two half-period intervals.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M040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1:1 arch balance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S02 pp.13–15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Equal interval length; amplitude balance is a model parameter, not universal stability law.</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Conditional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M041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Overlap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Lens intersection region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S02 pp.16–19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Explicit intersection `A∩B` with area/phase/confidence.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 geometry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M042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Overlap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Constructive interference interpretation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S02 p.18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Combine complex amplitudes where supports intersect.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Model dependent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M043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Overlap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Tolerance/phase-slip buffer</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S02 p.18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Overlap width is a measurable alignment or phase-error margin.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Measurable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M044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Overlap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Mutual-information domain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S02 pp.18–19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overlap membership as a join key; mutual information requires distributions, not area alone.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Conditional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M045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Metric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Scaled 5–12–13 triangle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Multiply the Pythagorean triple by 0.3.</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M046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Metric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Leg ratio 2.4</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pp.5,15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Aspect/torque parameter `q=2.4`.</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M047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Metric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Torque-cone angle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pp.15–16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Derive cone half-angle from leg ratio under stated triangle convention.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 under convention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M048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Kinematics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Logarithmic spiral step law</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pp.5–6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Scale changes exponentially with phase.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Parameter dependent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M049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Coordinate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Base-2 log-radius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pp.16–17; S04 pp.1–2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Multiplicative radial scale becomes additive coordinate displacement.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 concept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M050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Coordinate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Local spherical chart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pp.5–7; S05 p.3</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radial-angular coordinates locally around a query/coupler; not a global world replacement.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M051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Support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Cone support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 S08 pp.15–18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Admit candidates satisfying radial reach and angular cosine threshold.</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M052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Support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Nested shell support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pp.3–6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Partition radius into ordered intervals for multiscale relevance.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M053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Routing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Four-chamber hourglass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p.6; S08 pp.23–26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Four routing sectors meet at a central rank-changing locus.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 abstraction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M054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Routing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Pinch event locus</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p.6; S05 pp.2–5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 guard surface at which rank, route or mode changes.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Measurable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M055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Routing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Invariant eigen-axis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p.6; S08 pp.21–25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tagged axis/mode remains invariant across route transition.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M056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Routing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Swept phase arc</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p.6; S08 pp.23–25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Phase parameter maps between routing sectors.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M057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Routing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Trident 3-to-1 convergence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pp.25–27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Three input channels merge into one event/reset channel.</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Constructive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M058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Fluid threshold</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Pythagorean-cup trigger</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pp.27–29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Hysteretic threshold state machine with latch and reset.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principle established; corpus mapping unvalidated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M059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Fluid threshold</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Greedy reset cycle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pp.27–29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On trigger, emit event then reset selected accumulator/state.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M060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Glyph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Inward G/shelf transform</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pp.30–31</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Additional glyph grammar rule; not core topology.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OPTIONAL</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Exploratory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M061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Lemniscate crossing</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S09 pp.18–25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crossing with orientation/chirality state and two lobes.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Exploratory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M062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Escher-style shrink to crossing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S09 pp.20–27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bounded log-scale coordinate; do not infer infinite physical resolution.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Bounded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M063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Field geometry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Cone SDF</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pp.7–8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Implicit conical support/boundary function.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M064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Field geometry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Sphere SDF</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S03/S05; benchmark</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`f(p)=||p||-R` with zero guard.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 and validated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M065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Möbius orientation reversal</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pp.4–6; S08 pp.10–14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quotient boundary reverses orientation when traversed.</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Mathematically exact abstraction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M066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Klein gluing map</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pp.2,6; S05 p.5; S08 pp.7–14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Specify ports and an orientation-reversing identification; use as routing, not literal container.</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Canonical abstraction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M067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Same coordinate, different sheet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p.6; S08 pp.15–19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State includes sheet/phase/address; coordinate equality alone does not imply coupling.</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M068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Non-orientable orientation bit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One bit records local orientation class and toggles at gluing maps.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M069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Projected self-intersection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pp.5–10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Treat apparent collision as two distinct sheet/address states unless physical interaction is specified.</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M070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Double vacuum as incompatibility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p.6; S08 pp.6–18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No coupling because compatibility is false, despite co-location.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M071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Phase-separated co-location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Phase is part of state and coupling law.</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M072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Four-way routing partition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pp.6–7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Two route bits select one of four sectors around an event locus.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M073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Portal/gluing transition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At event, apply coordinate, sheet, orientation and lineage transform.</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M074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Branch transition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Branch ID is updated only by a declared transition.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M075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Identity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Lineage-based identity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pp.5–8,11–12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Identity is seed/generative address plus transition history/invariants.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M076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Identity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Split/merge lineage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pp.8,11–12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Splits create child addresses; merges require explicit reconciliation record.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 stress test required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M077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Toroidal/poloidal chart labels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pp.18–26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Use two periodic coordinates where appropriate; no claim of 4D physics follows.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Exploratory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M078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Re-entry map</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pp.18–28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Explicit transition maps output port to input address with optional orientation flip.</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M079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Parity-controlled open/closed boundary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pp.3–8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Parity selects one of two topology templates; changes occur at guarded events.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M080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Sphere eversion analogy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S08 pp.10–12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Useful visualization only; not required by substrate.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DEMOTE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Analogy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M081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Klein self-assembly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S06/S07/S10 pp.9–12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Not supported; requires material mechanics and cannot be inferred from SDF parity.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Unsupported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M082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Topology-powered energy recycling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pp.25–29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Topology does not create or preserve usable energy without a loss/drive model.</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Dimensionally unsupported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M083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Information architecture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Finite grammar</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bounded set of productions generates typed expressions/state.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M084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Information architecture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L-system production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pp.5–6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Parametric grammar operator with bounded depth and normalized output.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Depth must be bounded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M085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Information architecture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Projective-phase state manifold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Typed product state, not a single coordinate array.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 subset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M086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Information architecture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Typed state tuple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Every field has unit, width and semantic convention.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M087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Relation surface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An event candidate is a root of an explicit scalar relation.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 sphere relation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M088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Support predicate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pp.5–7; S05 pp.3,6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Local domain selects relevant candidates before event solving.</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M089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Compatibility predicate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 S05 p.7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Coupling requires phase/sheet/address/mode/policy compatibility.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 subset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M090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Earliest valid event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Choose earliest certified root satisfying all gates.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Prototype subset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M091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Transition operator</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Apply atomic state patch at event and preserve invariants.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M092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Persistence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External novelty log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pp.5–8,11–12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Closed dynamics may be rebuilt; unpredictable external changes are appended.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 format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M093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Query architecture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state_at(t)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pp.6–8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Evaluate closed expression at requested time without replay when possible.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Restricted families only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M094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Query architecture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next_event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pp.6–8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Support + compatibility + root solve + branch resolution.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Restricted families only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M095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Query architecture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events_in_cone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pp.6–7,11–12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Return events whose supports intersect query support.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M096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Query architecture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reachable relation query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pp.6–7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Graph/grammar reachability under compatibility.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M097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Query architecture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identity reconstruction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pp.7–12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Reconstruct identity without relying on current coordinate.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M098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Pruning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Support rejection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pp.7–8; S05 p.6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Local analytic filter precedes expensive relation work.</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Measured by SRG</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M099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Pruning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Compatibility rejection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pp.6–8; S05 pp.6–7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Filter supported candidates by typed mode/policy mask.</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Measured by CRG</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M100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Finite guard band</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pp.5–7; benchmark</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epsilon band around relation zero to tolerate finite precision/noise.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M101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Confidence threshold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pp.3,6–7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commits only if confidence/certification exceeds floor.</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 synthetic model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M102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Hysteresis/debounce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p.10; S01 pp.27–29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Separate enter/exit thresholds and hold time.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M103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Numerics</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Certified/bracketed root solve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pp.8–9,11–12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Return bounded root interval when exact analytic solve is unstable.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Future implementation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M104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Numerics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Tangency and degeneracy handling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pp.8–11; S05 p.10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Classify derivative/rank conditions; avoid false crossing.</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Risk register</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M105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Field algebra</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SDF zero as event boundary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pp.6–7; S06 pp.7–8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Zero is semantic transition surface, not a reason to raymarch indefinitely.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M106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Field algebra</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CSG union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Implicit union operator.</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 for SDF sign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M107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Field algebra</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CSG intersection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p.2; S02 pp.18–19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Implicit intersection/operator for overlap lens.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Exact for sign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M108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Field algebra</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CSG subtraction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Implicit difference.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 for sign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M109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Field algebra</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SDF gradient orientation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pp.2,4,9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Gradient provides normal/orientation; finite difference or analytic derivative.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M110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Field algebra</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Parity-conditioned field blend</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pp.7–8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Discrete state selects or interpolates implicit geometry.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M111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Indexing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Log-polar LUT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pp.16–22; S04 pp.1–8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Index radial-angular parameters by additive log radius and angle.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M112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Indexing</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BST-to-flat-table translation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pp.15–22; S06/S07/S10 pp.5–6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Compile tree decisions into breadth-first arrays or direct bit tests; avoid pointer chasing on GPU.</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GPU-specific</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M113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Complexity</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Horizon-independent closed expression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For fixed expression size, state_at cost need not scale with skipped steps.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Restricted claim</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M114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Memory</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Novelty-proportional retention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pp.8,11–12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Store seed/grammar/invariants and external events, not every frame, when reconstruction is valid.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Depends on reconstructibility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M115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Persistence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Seed+grammar+log rebuild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pp.7–12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Deterministic replay from versioned seed, grammar and event log.</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M116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Architecture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Query-first, no mandatory frame loop</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pp.1,5–12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Authoritative runtime serves state/event queries; projection is optional.</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M117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Architecture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Optional projection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pp.1,9–10; S04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Render/print/display is a consumer of query results.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M118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 calculus</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Bounded Compatibility Event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pp.3,5–7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Verified event requires support, compatibility, guard crossing and confidence.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 synthetic / specified physical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M119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Persistence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lineage record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pp.5–8; S05 p.7</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 carries route, state flags, time/confidence and lineage.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M120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Architecture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Schema-bound one-bit semantics</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Every bitfield is versioned and named by schema.</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M121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Networking</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Deterministic rollback/replay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S08 pp.27–31; S03 pp.7–12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Replay versioned deterministic transitions plus external event log.</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Restricted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M122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Risk</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Algebraic closure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pp.8,11</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Composition must remain in a normalized relation family or lose direct-query advantage.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Open risk</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M123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Risk</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Event/branch explosion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pp.8,11</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Bound candidate count, branch depth and event density.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Open risk</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M124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Governance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Query authority and policy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pp.6,11</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Policy/provenance is part of compatibility, not hidden side logic.</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M125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GLSL-to-SPIR-V compilation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gpu/shaders + gpu/spirv</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Compile compute kernels to SPIR-V; bundled modules are SPIR-V 1.4.</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Compiled and inspected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M126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Direct Vulkan compute runtime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Package gpu/src/ugts_vulkan_bench.cpp</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Create shader module, compute pipeline, descriptors, buffers and dispatch directly through Vulkan.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Executed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M127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Descriptor ABI</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shader manifest</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Set 0 binding 0 state, 1 event, 2 counters/commit.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Validated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M128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256-thread workgroup</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SPIR-V manifest</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One invocation evaluates one candidate.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Compiled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M129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G64 authoritative state record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spec</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Four 16-byte vectors: position/time, axis/radius, phase/guard, metadata.</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M130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E32 full event record</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Package spec</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Float-bit scalars plus topology/lineage flags.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M131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G32 packed state record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spec</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Pair FP16 fields and pack topology metadata.</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Implemented and validated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M132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E16 packed event record</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Package spec</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SDF plus packed guard/confidence, flags and lineage hash.</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 and validated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M133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Evaluate mode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Write per-candidate result without global counters.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M134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Evaluate+commit mode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Add four atomic counters for candidates/support/compatible/verified.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Benchmarked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M135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Device timestamp measurement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Use Vulkan timestamp queries and host fence timing.</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M136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Pipeline cache artifact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Persist vendor/driver-specific cache blob; portability is not assumed.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Reload tested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M137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SPIR-V module manifest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gpu/spirv/spirv_manifest.json</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Hash and inspect version, entry point, local size and descriptors.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Validated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M138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Lineage hash</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Shader code</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Compact deterministic lineage checksum; not a cryptographic identity.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Validated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M139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Dense output path</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Simple validation layout; non-events still occupy output.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Benchmarked baseline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M140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Verified-event compaction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Spec/derived metrics</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ballot/prefix scan or atomic append to retain verified events.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Metric modeled; compact kernel not benchmarked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M141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Structure-of-arrays option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Split position/support/meta streams when hardware favors field locality.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OPTIONAL</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Not benchmarked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M142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Memory coalescing contract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Spec</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Records are 16-byte aligned; adjacent invocations access adjacent records.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Implemented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M143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FP16 error contract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Spec/tests</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G32 requires declared range/tolerance; event guard must exceed quantization uncertainty.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Sample validated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M144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Cold versus cache-seeded compilation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Report shader-module, cold pipeline and cache-seeded pipeline times separately.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Benchmarked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M145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CPU reference oracle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Benchmark/tests</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Scalar implementation checks counters and first 4096 outputs.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Passed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M146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Deterministic benchmark corpus</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Benchmark</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Fixed formula yields reproducible support, compatibility and event counts.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Passed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M147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GPU-native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No Unity/Godot target layer</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User requirement</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Engine adapters are intentionally absent; ABI is Vulkan/SPIR-V and physical register/stream definitions.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audited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M148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Cartesian-to-log-polar mapping</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pp.1–2</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Transform only in output/sensor stage where radial symmetry helps.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Optional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M149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One-bit sector activation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pp.1–2</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Skip inactive sectors before field evaluation.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Optional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M150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Phasor coverage accumulation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pp.2–3</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Deterministic complex amplitude/phase accumulation or multisample coverage.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Not quantum simulation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M151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Subpixel gradient alignment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pp.4–6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Use gradient/normal to orient filter or coverage.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Optional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M152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Pulse-density modulation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pp.4–6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Encode scalar magnitude as pulse density over a declared window.</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Established technique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M153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Anisotropic delta-sigma</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pp.5–6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Shape quantization error by radial/angular sampling density.</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Requires measurement</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M154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Chromatic log-radius offset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pp.7–8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 multiplicative radial scale becomes an additive log-radius offset per channel.</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Mathematically exact coordinate identity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M155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Wavelength-dependent phase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pp.7–8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Model dispersion with per-wavelength phase parameters.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model required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M156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Seeded stochastic blend</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pp.7–10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deterministic noise threshold keyed by coordinate/lineage.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Optional</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M157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Log-polar blue-noise screening</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pp.8–10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Warp screening frequency to maintain intended density under coordinate expansion.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Output-specific</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M158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SDF edge lock</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pp.9–10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Near zero surface, bias threshold using gradient/coverage.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Output-specific</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M159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Dot-gain compensation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Calibrate binary threshold to measured process gain.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Established output practice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M160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Projection</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CMYK angular separation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pp.9–10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Assign independent angular offsets to reduce moiré.</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Output-specific</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M161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Liquid overclad</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Liquid changes effective index/coupling over a solid guide.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Prototype class established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M162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Liquid-core guide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Higher interaction with harder loss/packaging constraints.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OPTIONAL</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Component class established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M163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Input liquid lens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p.4</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Deformable interface couples free-space angular support into guide.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Component class established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M164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Solid photonic substrate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pp.4,8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Provides conventional low-loss routing and couplers.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Established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M165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2×2 interferometric kernel</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pp.4,9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Minimal mode/phase comparison primitive.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Prototype proposal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M166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Balanced detection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pp.4,9</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Difference readout reduces common-mode intensity noise.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Established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M167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Spherical-to-mode overlap</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Coupling efficiency is normalized field overlap integral.</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Established equation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M168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Coupled-mode evolution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Track propagation constants, attenuation and coupling.</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Established theory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M169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Young–Laplace curvature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p.5</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Pressure-curvature law drives lens shape.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Established theory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M170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Maxwell field boundary</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Optical behavior must be solved/calibrated from dielectric geometry.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Established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M171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Actuation modes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pp.4,8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Actuator has range, settling, hysteresis, power and cycle life.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Measure</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M172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Measured B.C.E. guard</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pp.3,5–7</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Detector threshold plus mode/policy compatibility commits event.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Prototype criterion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M173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Calibration and drift state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pp.6–10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Calibration coefficients and uncertainty are first-class state.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Required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M174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Events per joule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p.6</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Count verified events over full source+actuator+detector+control energy.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Required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M175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Optical insertion loss</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pp.6,10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Report loss beside event throughput.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Required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M176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Packaging failure controls</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pp.8,10</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Bubble rate, evaporation, swelling, alignment and seal life are kill criteria.</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Required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M177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Digital commit sidecar</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pp.4,7,9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Use FPGA/ASIC/MCU for thresholds, uncertainty, lineage and safety; this is not a game-engine adapter.</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M178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Fixed-function support engine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Derived architecture</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ASIC/FPGA datapath evaluates radial and angular support.</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Architecture 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M179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Compatibility mask engine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Derived architecture</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Bitfield compares before guard evaluation.</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Architecture specified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M180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Event FIFO and lineage commit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Derived architecture</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Compact verified events and maintain monotonic sequence/lineage.</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TRANSLATE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Architecture specified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M181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Fluidic threshold/reset endpoint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pp.27–29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Optional physical hysteretic reset, not a computation or energy source.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Requires lab validation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M182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Explicit topology transfer map</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S05 p.5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Non-orientable naming is permitted only with port, orientation and transfer matrix.</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Required</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M183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 hardware</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Failure/kill criteria</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Reject device if loss, drift, false events, actuation speed, packaging or sidecar cost erase benefit.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Required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M184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100% does not ordinarily equal 36</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pp.7–8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36 is output of a custom glyph encoder only.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Exact</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M185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100101 versus 100100 inconsistency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pp.3–9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 addendum uses the later explicit open-loop suppression rule; both encodings are logged as variants.</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Source inconsistency resolved explicitly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M186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Information entropy is not automatically heat</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S01 pp.17–24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Thermodynamic energy requires temperature and irreversible erasure model; use Landauer lower bound only as a bound.</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Dimensionally invalid source claim</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M187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Absolute single vacuum claim</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S01 pp.25–29</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 siphon uses pressure difference and gravity; no absolute vacuum is created.</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Established physics boundary</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M188</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Zero-cost chromatic correction</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S04 pp.7–8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Log-space offset is cheap, not free; report instructions/bandwidth/passes.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Absolute claim</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M189</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Perfect alias elimination</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S04 pp.4–6</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PDM/dither redistributes error; quality is finite and measurable.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Absolute claim</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M190</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Universal O(1)</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pp.7–8; S08 pp.15–35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Only fixed closed-expression state queries may be horizon-independent; event/branch costs remain.</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BOUNDED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Canonical correction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M191</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Zero memory/latency/heat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pp.2,10; S08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All state, caches, logs, sources, actuators and controls count.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 rejection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M192</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Perfect determinism/exact chaos</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S03 pp.8–11; S08</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Finite precision, degeneracies and external novelty require uncertainty and logs.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Unsupported absolute</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M193</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One bit as complete state</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S05 pp.2,7; S08</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One bit is route/validity only; continuous state and lineage remain separate.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Canonical correction</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M194</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No broad phase ever</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S08 pp.28–35</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Support/compatibility are themselves analytic broad-phase/pruning operators.</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CORRECTED</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Terminology correction</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M195</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General AI/world replacement</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S03 pp.1,7–12; S05 p.10</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No support in corpus; restrict to state/event substrate.</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REJECT</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Unsupported</w:t>
            </w:r>
          </w:p>
        </w:tc>
      </w:tr>
      <w:tr>
        <w:trPr>
          <w:cantSplit/>
        </w:trPr>
        <w:tc>
          <w:tcPr>
            <w:tcW w:type="dxa" w:w="604"/>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M196</w:t>
            </w:r>
          </w:p>
        </w:tc>
        <w:tc>
          <w:tcPr>
            <w:tcW w:type="dxa" w:w="151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Biological one-bit equivalence</w:t>
            </w:r>
          </w:p>
        </w:tc>
        <w:tc>
          <w:tcPr>
            <w:tcW w:type="dxa" w:w="144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S06/S07/S10 pp.13–24</w:t>
            </w:r>
          </w:p>
        </w:tc>
        <w:tc>
          <w:tcPr>
            <w:tcW w:type="dxa" w:w="576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Use as analogy only; biological/quantum mechanisms are not established by the geometry.</w:t>
            </w:r>
          </w:p>
        </w:tc>
        <w:tc>
          <w:tcPr>
            <w:tcW w:type="dxa" w:w="1123"/>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DEMOTE</w:t>
            </w:r>
          </w:p>
        </w:tc>
        <w:tc>
          <w:tcPr>
            <w:tcW w:type="dxa" w:w="1800"/>
            <w:vAlign w:val="center"/>
            <w:tcMar>
              <w:top w:w="30" w:type="dxa"/>
              <w:start w:w="40" w:type="dxa"/>
              <w:bottom w:w="30" w:type="dxa"/>
              <w:end w:w="40" w:type="dxa"/>
            </w:tcMar>
            <w:shd w:fill="F7F9FA"/>
          </w:tcPr>
          <w:p>
            <w:pPr>
              <w:spacing w:after="0" w:before="0" w:line="240" w:lineRule="auto"/>
            </w:pPr>
            <w:r/>
            <w:r>
              <w:rPr>
                <w:rFonts w:ascii="Liberation Sans" w:hAnsi="Liberation Sans" w:eastAsia="Liberation Sans"/>
                <w:b w:val="0"/>
                <w:color w:val="1F2937"/>
                <w:sz w:val="12"/>
              </w:rPr>
              <w:t>Unsupported analogy</w:t>
            </w:r>
          </w:p>
        </w:tc>
      </w:tr>
      <w:tr>
        <w:trPr>
          <w:cantSplit/>
        </w:trPr>
        <w:tc>
          <w:tcPr>
            <w:tcW w:type="dxa" w:w="604"/>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M197</w:t>
            </w:r>
          </w:p>
        </w:tc>
        <w:tc>
          <w:tcPr>
            <w:tcW w:type="dxa" w:w="151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Audit</w:t>
            </w:r>
          </w:p>
        </w:tc>
        <w:tc>
          <w:tcPr>
            <w:tcW w:type="dxa" w:w="2232"/>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Physical-GPU benchmark boundary</w:t>
            </w:r>
          </w:p>
        </w:tc>
        <w:tc>
          <w:tcPr>
            <w:tcW w:type="dxa" w:w="144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Package benchmark</w:t>
            </w:r>
          </w:p>
        </w:tc>
        <w:tc>
          <w:tcPr>
            <w:tcW w:type="dxa" w:w="576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Results prove API-native execution and correctness on named device, not physical-GPU throughput.</w:t>
            </w:r>
          </w:p>
        </w:tc>
        <w:tc>
          <w:tcPr>
            <w:tcW w:type="dxa" w:w="1123"/>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RETAIN</w:t>
            </w:r>
          </w:p>
        </w:tc>
        <w:tc>
          <w:tcPr>
            <w:tcW w:type="dxa" w:w="1800"/>
            <w:vAlign w:val="center"/>
            <w:tcMar>
              <w:top w:w="30" w:type="dxa"/>
              <w:start w:w="40" w:type="dxa"/>
              <w:bottom w:w="30" w:type="dxa"/>
              <w:end w:w="40" w:type="dxa"/>
            </w:tcMar>
          </w:tcPr>
          <w:p>
            <w:pPr>
              <w:spacing w:after="0" w:before="0" w:line="240" w:lineRule="auto"/>
            </w:pPr>
            <w:r/>
            <w:r>
              <w:rPr>
                <w:rFonts w:ascii="Liberation Sans" w:hAnsi="Liberation Sans" w:eastAsia="Liberation Sans"/>
                <w:b w:val="0"/>
                <w:color w:val="1F2937"/>
                <w:sz w:val="12"/>
              </w:rPr>
              <w:t>Explicit boundary</w:t>
            </w:r>
          </w:p>
        </w:tc>
      </w:tr>
    </w:tbl>
    <w:p>
      <w:pPr>
        <w:pStyle w:val="Heading1"/>
      </w:pPr>
      <w:r>
        <w:t>Appendix B. Claims ledger</w:t>
      </w:r>
    </w:p>
    <w:p>
      <w:pPr>
        <w:spacing w:after="120" w:line="259" w:lineRule="auto"/>
      </w:pPr>
      <w:r>
        <w:rPr>
          <w:rFonts w:ascii="Liberation Sans" w:hAnsi="Liberation Sans" w:eastAsia="Liberation Sans"/>
          <w:i w:val="0"/>
          <w:sz w:val="16"/>
        </w:rPr>
        <w:t>The claims ledger records where the source is exact, schema-bound, translated, corrected or rejected. It is part of the technical deliverable, not a disclaimer added after the fact.</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966"/>
        <w:gridCol w:w="2966"/>
        <w:gridCol w:w="2966"/>
        <w:gridCol w:w="2966"/>
        <w:gridCol w:w="2966"/>
      </w:tblGrid>
      <w:tr>
        <w:trPr>
          <w:tblHeader w:val="true"/>
        </w:trPr>
        <w:tc>
          <w:tcPr>
            <w:tcW w:type="dxa" w:w="72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ID</w:t>
            </w:r>
          </w:p>
        </w:tc>
        <w:tc>
          <w:tcPr>
            <w:tcW w:type="dxa" w:w="432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Claim</w:t>
            </w:r>
          </w:p>
        </w:tc>
        <w:tc>
          <w:tcPr>
            <w:tcW w:type="dxa" w:w="18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Disposition</w:t>
            </w:r>
          </w:p>
        </w:tc>
        <w:tc>
          <w:tcPr>
            <w:tcW w:type="dxa" w:w="194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Source</w:t>
            </w:r>
          </w:p>
        </w:tc>
        <w:tc>
          <w:tcPr>
            <w:tcW w:type="dxa" w:w="619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Technical note</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C001</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Standard 100% equals 1</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S01 pp.1,7–8</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Ordinary arithmetic and source correction.</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C002</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Custom `100%` glyph encoder yields 36</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BOUNDED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S01 pp.6–9</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True only under explicit custom rule producing 100100₂.</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C003</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100101₂ yields 37</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 VARIANT</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S01 pp.3–4</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Earlier encoder variant before terminal-bit suppression.</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C004</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Zero-based index 35 is ordinal position 36</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S02 pp.1–4</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Address/ordinal distinction; sum remains 35.</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C005</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19 has binary Hamming weight 3</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S09 pp.3–5</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19=10011₂.</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C006</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Three active bits equal three Dutch syllables</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METADATA MAP</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S09 pp.4–7</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Corpus-specific correspondence, not numeric equality.</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C007</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Pascal parity yields Sierpiński structure</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S09 pp.6–14</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Exact parity construction.</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C008</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D/B can be morphed to R by cutting/unrolling a lower loop</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CONSTRUCTIVE</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S06/S07/S10 pp.1–4</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Valid geometric rewrite, not a unique theorem.</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C009</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Parity bit can select open versus closed topology template</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 AS COMPUTATION</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S03; S06/S07/S10 pp.3–8</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Bit is a route/template selector.</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C010</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SDF parity alone makes a physical Klein bottle self-assemble</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S06/S07/S10 pp.9–12</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No material mechanics or conservation model.</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C011</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Klein bottle is a useful routing/gluing abstraction</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 AS ABSTRACTION</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S03 pp.5–7; S05 p.5</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Requires explicit ports, orientation and transfer map.</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C012</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Double vacuum means two stronger emptinesses</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S03 p.6; S08</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Normalized as non-coupling sectors.</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C013</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Double vacuum means co-located incompatible sheets</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 AS MODEL</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S03 p.6</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Typed state and compatibility predicate.</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C014</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Universal constant-time world</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S03 pp.7–8; S08</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Only restricted fixed-expression horizon independence is plausible.</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C015</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Zero-memory world</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S03 pp.7–12; S05 p.10</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Seeds, grammar, state, caches and novelty logs consume memory.</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C016</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Memory can be proportional to irreducible novelty</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BOUNDED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S03 pp.7–12</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Only where closed dynamics are reconstructible.</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C017</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One bit encodes complete world state</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S05 pp.2,7</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One bit has a narrow route/validity role.</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C018</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Log-polar scaling turns magnification into additive radius offset</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S04 pp.7–8</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Coordinate identity ρ=ln r.</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C019</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That correction is zero cost</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S04 pp.7–8</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Still costs arithmetic, fetches and bandwidth.</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C020</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Feynman vectors are required for rasterization</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 TERMINOLOGY</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S04 pp.1–3</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Translated to deterministic phasor/coverage integration.</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C021</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PDM/dither eliminates aliasing</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 ABSOLUTE</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S04 pp.4–10</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It shapes/redistributes finite error.</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C022</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Liquid lenses and optofluidic guides are component classes</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S05 pp.4–12</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Component feasibility, not system validation.</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C023</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Corpus system-level hardware advantage is already proven</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S05 pp.10–12</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Requires measured full-system baseline.</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C024</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0.680 bits correspond to 202.74 J</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S01 pp.17–24</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Dimensionally invalid without physical process; source number unsupported.</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C025</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Landauer bound can translate erased bits to a minimum heat at temperature T</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 EXTERNAL ENGINEERING</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Engineering correction</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A lower bound, not actual device energy.</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C026</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Fractional bit shift by 1.5 is a native integer shift</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S01 pp.11–15</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Use scale multiply or log2(1.5) displacement.</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C027</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Pythagorean cup creates an absolute vacuum</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S01 pp.27–29</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It is a siphon driven by pressure/gravity.</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C028</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Pythagorean cup supplies a threshold/reset mechanism</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SUPPORTED TRANSLATION</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S01 pp.27–29</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Useful hysteretic state-machine analogy and physical endpoint.</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C029</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Bundled SPIR-V is GPU-native intermediate code</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Package artifacts</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Modules validated for magic, entry, local size and bindings.</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C030</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Bundled benchmark proves physical GPU speed</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Package benchmark</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Device is SwiftShader CPU; only API-native correctness/performance on that device.</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C031</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G32/E16 halves dense record memory versus G64/E32</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Package benchmark/spec</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48 vs 96 bytes per candidate.</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C032</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G32/E16 is necessarily faster</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Package benchmark</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Packed decode was slower on the validation device.</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C033</w:t>
            </w:r>
          </w:p>
        </w:tc>
        <w:tc>
          <w:tcPr>
            <w:tcW w:type="dxa" w:w="43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Evaluate+commit has no cost</w:t>
            </w:r>
          </w:p>
        </w:tc>
        <w:tc>
          <w:tcPr>
            <w:tcW w:type="dxa" w:w="18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REJECTED</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Package benchmark</w:t>
            </w:r>
          </w:p>
        </w:tc>
        <w:tc>
          <w:tcPr>
            <w:tcW w:type="dxa" w:w="61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Atomic commit approximately doubles p50 on largest G64 batch.</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C034</w:t>
            </w:r>
          </w:p>
        </w:tc>
        <w:tc>
          <w:tcPr>
            <w:tcW w:type="dxa" w:w="43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Verified-event compaction can reduce output memory by observed yield</w:t>
            </w:r>
          </w:p>
        </w:tc>
        <w:tc>
          <w:tcPr>
            <w:tcW w:type="dxa" w:w="18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SUPPORTED AS DERIVED METRIC</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Package derived metrics</w:t>
            </w:r>
          </w:p>
        </w:tc>
        <w:tc>
          <w:tcPr>
            <w:tcW w:type="dxa" w:w="61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Requires a compaction kernel/FIFO; current dense benchmark does not measure it.</w:t>
            </w:r>
          </w:p>
        </w:tc>
      </w:tr>
    </w:tbl>
    <w:p>
      <w:pPr>
        <w:spacing w:after="0"/>
      </w:pPr>
    </w:p>
    <w:p>
      <w:pPr>
        <w:pStyle w:val="Heading1"/>
      </w:pPr>
      <w:r>
        <w:t>Appendix C. Metric and register dictionaries</w:t>
      </w:r>
    </w:p>
    <w:p>
      <w:pPr>
        <w:pStyle w:val="Heading2"/>
      </w:pPr>
      <w:r>
        <w:t>C.1 Native metric dictionary</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708"/>
        <w:gridCol w:w="3708"/>
        <w:gridCol w:w="3708"/>
        <w:gridCol w:w="3708"/>
      </w:tblGrid>
      <w:tr>
        <w:trPr>
          <w:tblHeader w:val="true"/>
        </w:trPr>
        <w:tc>
          <w:tcPr>
            <w:tcW w:type="dxa" w:w="14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symbol</w:t>
            </w:r>
          </w:p>
        </w:tc>
        <w:tc>
          <w:tcPr>
            <w:tcW w:type="dxa" w:w="288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name</w:t>
            </w:r>
          </w:p>
        </w:tc>
        <w:tc>
          <w:tcPr>
            <w:tcW w:type="dxa" w:w="504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formula</w:t>
            </w:r>
          </w:p>
        </w:tc>
        <w:tc>
          <w:tcPr>
            <w:tcW w:type="dxa" w:w="547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required_context</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CER</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Candidate Evaluation Rate</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N/device_time</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device,batch,profile,mode,precision</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SET</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Spherical Event Throughput</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V/device_time</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support,compatibility,guard,confidence,error budget</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ESB</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Effective Substrate Bandwidth</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N*(input_bytes+output_bytes)/device_time</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logical traffic only; not raw DRAM bandwidth</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SRG</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 Rejection Gain</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N/N_support</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 definition</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CRG</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Compatibility Rejection Gain</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N_support/N_compatible</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compatibility schema</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EY</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Event Yield</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V/N</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deterministic corpus or workload</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CPC</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Cold Pipeline Compilation</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cold pipeline creation latency</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driver/device/module</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CPH</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Cache-Seeded Pipeline Hydration</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cache-seeded pipeline creation latency</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cache portability restricted to matching implementation</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NPF</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Native Program Footprint</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SPIR-V bytes + implementation-specific cache/binary bytes</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module and driver</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SCR</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 Compression Ratio</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dense_G64E32/dense_G32E16</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same candidate count</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ECR</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 Compaction Ratio</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dense_output/verified_only_output</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 yield; compaction implementation separate</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SNC</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State-plus-Novelty Compression</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dense_G64E32/(G32_state+compact_E16)</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 retained plus verified events</w:t>
            </w:r>
          </w:p>
        </w:tc>
      </w:tr>
      <w:tr>
        <w:trPr>
          <w:cantSplit/>
        </w:trPr>
        <w:tc>
          <w:tcPr>
            <w:tcW w:type="dxa" w:w="14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CCF</w:t>
            </w:r>
          </w:p>
        </w:tc>
        <w:tc>
          <w:tcPr>
            <w:tcW w:type="dxa" w:w="288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Commit Cost Factor</w:t>
            </w:r>
          </w:p>
        </w:tc>
        <w:tc>
          <w:tcPr>
            <w:tcW w:type="dxa" w:w="504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p50_evaluate_commit/p50_evaluate</w:t>
            </w:r>
          </w:p>
        </w:tc>
        <w:tc>
          <w:tcPr>
            <w:tcW w:type="dxa" w:w="547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same profile and batch</w:t>
            </w:r>
          </w:p>
        </w:tc>
      </w:tr>
      <w:tr>
        <w:trPr>
          <w:cantSplit/>
        </w:trPr>
        <w:tc>
          <w:tcPr>
            <w:tcW w:type="dxa" w:w="14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PCP</w:t>
            </w:r>
          </w:p>
        </w:tc>
        <w:tc>
          <w:tcPr>
            <w:tcW w:type="dxa" w:w="288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Packed Compute Penalty</w:t>
            </w:r>
          </w:p>
        </w:tc>
        <w:tc>
          <w:tcPr>
            <w:tcW w:type="dxa" w:w="504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p50_G32/p50_G64</w:t>
            </w:r>
          </w:p>
        </w:tc>
        <w:tc>
          <w:tcPr>
            <w:tcW w:type="dxa" w:w="547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same mode, batch and device</w:t>
            </w:r>
          </w:p>
        </w:tc>
      </w:tr>
    </w:tbl>
    <w:p>
      <w:pPr>
        <w:spacing w:after="0"/>
      </w:pPr>
    </w:p>
    <w:p>
      <w:pPr>
        <w:pStyle w:val="Heading2"/>
      </w:pPr>
      <w:r>
        <w:t>C.2 Hardware register map</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3708"/>
        <w:gridCol w:w="3708"/>
        <w:gridCol w:w="3708"/>
        <w:gridCol w:w="3708"/>
      </w:tblGrid>
      <w:tr>
        <w:trPr>
          <w:tblHeader w:val="true"/>
        </w:trPr>
        <w:tc>
          <w:tcPr>
            <w:tcW w:type="dxa" w:w="122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Offset</w:t>
            </w:r>
          </w:p>
        </w:tc>
        <w:tc>
          <w:tcPr>
            <w:tcW w:type="dxa" w:w="302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Register</w:t>
            </w:r>
          </w:p>
        </w:tc>
        <w:tc>
          <w:tcPr>
            <w:tcW w:type="dxa" w:w="115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Access</w:t>
            </w:r>
          </w:p>
        </w:tc>
        <w:tc>
          <w:tcPr>
            <w:tcW w:type="dxa" w:w="921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Meaning</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0x0000</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CONTROL</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bit0 enable; bit1 reset; bit2 commit; bit3 clear_counters</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0x0004</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STATUS</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bit0 ready; bit1 busy; bit2 event_fifo_nonempty; bit3 overflow; bit4 calibration_valid</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0x0008</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PROFILE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 G64/E32; 1 G32/E16; 2 Q16.16 squared gate</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0x000C</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MODE_BIT</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compatibility mode bit 0..15</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0x0010</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TARGET_TOPOLOGY</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bits7:0 sheet; bit8 orientation</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0x0014</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GUARD_CONFIG</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fixed-point guard or profile-specific epsilon</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0x0018</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CONFIDENCE_MIN</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float/fixed threshold or SNR code</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0x001C</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BATCH_COUNT</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number of candidates in dispatch/stream batch</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0x0020</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STATE_BASE_LO</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state buffer/DMA base address low</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0x0024</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STATE_BASE_HI</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 buffer/DMA base address high</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0x0028</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EVENT_BASE_LO</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 buffer/FIFO DMA base low</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0x002C</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EVENT_BASE_HI</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event buffer/FIFO DMA base high</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0x0030</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COUNT_CANDIDATE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processed candidates</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0x0034</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COUNT_SUPPORTED</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support survivors</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0x0038</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COUNT_COMPATIBLE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support+compatibility survivors</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0x003C</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COUNT_VERIFIED</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verified events</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0x0040</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EVENT_FIFO_LEVEL</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queued compact events</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0x0044</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ERROR_FLAGS</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R/W1C</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overflow, invalid profile, numeric saturation, calibration/drift faults</w:t>
            </w:r>
          </w:p>
        </w:tc>
      </w:tr>
      <w:tr>
        <w:trPr>
          <w:cantSplit/>
        </w:trPr>
        <w:tc>
          <w:tcPr>
            <w:tcW w:type="dxa" w:w="12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0x0048</w:t>
            </w:r>
          </w:p>
        </w:tc>
        <w:tc>
          <w:tcPr>
            <w:tcW w:type="dxa" w:w="302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TIMESTAMP_LO</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device timestamp low</w:t>
            </w:r>
          </w:p>
        </w:tc>
      </w:tr>
      <w:tr>
        <w:trPr>
          <w:cantSplit/>
        </w:trPr>
        <w:tc>
          <w:tcPr>
            <w:tcW w:type="dxa" w:w="12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0x004C</w:t>
            </w:r>
          </w:p>
        </w:tc>
        <w:tc>
          <w:tcPr>
            <w:tcW w:type="dxa" w:w="302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TIMESTAMP_HI</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R</w:t>
            </w:r>
          </w:p>
        </w:tc>
        <w:tc>
          <w:tcPr>
            <w:tcW w:type="dxa" w:w="921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device timestamp high</w:t>
            </w:r>
          </w:p>
        </w:tc>
      </w:tr>
    </w:tbl>
    <w:p>
      <w:pPr>
        <w:spacing w:after="0"/>
      </w:pPr>
    </w:p>
    <w:p>
      <w:pPr>
        <w:pStyle w:val="Heading2"/>
      </w:pPr>
      <w:r>
        <w:t>C.3 State layout</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119"/>
        <w:gridCol w:w="2119"/>
        <w:gridCol w:w="2119"/>
        <w:gridCol w:w="2119"/>
        <w:gridCol w:w="2119"/>
        <w:gridCol w:w="2119"/>
        <w:gridCol w:w="2119"/>
      </w:tblGrid>
      <w:tr>
        <w:trPr>
          <w:tblHeader w:val="true"/>
        </w:trPr>
        <w:tc>
          <w:tcPr>
            <w:tcW w:type="dxa" w:w="115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profile</w:t>
            </w:r>
          </w:p>
        </w:tc>
        <w:tc>
          <w:tcPr>
            <w:tcW w:type="dxa" w:w="115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record</w:t>
            </w:r>
          </w:p>
        </w:tc>
        <w:tc>
          <w:tcPr>
            <w:tcW w:type="dxa" w:w="115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offset_bytes</w:t>
            </w:r>
          </w:p>
        </w:tc>
        <w:tc>
          <w:tcPr>
            <w:tcW w:type="dxa" w:w="115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size_bytes</w:t>
            </w:r>
          </w:p>
        </w:tc>
        <w:tc>
          <w:tcPr>
            <w:tcW w:type="dxa" w:w="2088"/>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field</w:t>
            </w:r>
          </w:p>
        </w:tc>
        <w:tc>
          <w:tcPr>
            <w:tcW w:type="dxa" w:w="1655"/>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encoding</w:t>
            </w:r>
          </w:p>
        </w:tc>
        <w:tc>
          <w:tcPr>
            <w:tcW w:type="dxa" w:w="6623"/>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3"/>
              </w:rPr>
              <w:t>meaning</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G64</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16</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position_time</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4xf32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x,y,z,t</w:t>
            </w:r>
          </w:p>
        </w:tc>
      </w:tr>
      <w:tr>
        <w:trPr>
          <w:cantSplit/>
        </w:trPr>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G64</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16</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16</w:t>
            </w:r>
          </w:p>
        </w:tc>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axis_radius</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4xf32</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axis x,y,z, radial reach</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G64</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32</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16</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phase_guard</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4xf32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cone cosine, phase, guard epsilon, confidence floor</w:t>
            </w:r>
          </w:p>
        </w:tc>
      </w:tr>
      <w:tr>
        <w:trPr>
          <w:cantSplit/>
        </w:trPr>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G64</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48</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16</w:t>
            </w:r>
          </w:p>
        </w:tc>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meta</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4xu32</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sheet, orientation, compatibility mask, lineage seed</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G64</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16</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scalar_bits</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4xu32-as-f32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sdf, guard, confidence, event time</w:t>
            </w:r>
          </w:p>
        </w:tc>
      </w:tr>
      <w:tr>
        <w:trPr>
          <w:cantSplit/>
        </w:trPr>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G64</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event</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16</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16</w:t>
            </w:r>
          </w:p>
        </w:tc>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topology_bits</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4xu32</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verified, route, lineage hash, state flags</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0</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24</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packed_float_pairs</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6xu32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twelve IEEE binary16 fields</w:t>
            </w:r>
          </w:p>
        </w:tc>
      </w:tr>
      <w:tr>
        <w:trPr>
          <w:cantSplit/>
        </w:trPr>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24</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w:t>
            </w:r>
          </w:p>
        </w:tc>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packed_meta</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u32</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sheet[7:0], orientation[8], compatibility mask[24:9]</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state</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28</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lineage_seed</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u32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lineage seed</w:t>
            </w:r>
          </w:p>
        </w:tc>
      </w:tr>
      <w:tr>
        <w:trPr>
          <w:cantSplit/>
        </w:trPr>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event</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0</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w:t>
            </w:r>
          </w:p>
        </w:tc>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sdf_bits</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u32-as-f32</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float32 SDF</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guard_confidence</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u32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two IEEE binary16 values</w:t>
            </w:r>
          </w:p>
        </w:tc>
      </w:tr>
      <w:tr>
        <w:trPr>
          <w:cantSplit/>
        </w:trPr>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event</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8</w:t>
            </w:r>
          </w:p>
        </w:tc>
        <w:tc>
          <w:tcPr>
            <w:tcW w:type="dxa" w:w="115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4</w:t>
            </w:r>
          </w:p>
        </w:tc>
        <w:tc>
          <w:tcPr>
            <w:tcW w:type="dxa" w:w="2088"/>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state_flags</w:t>
            </w:r>
          </w:p>
        </w:tc>
        <w:tc>
          <w:tcPr>
            <w:tcW w:type="dxa" w:w="1655"/>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u32</w:t>
            </w:r>
          </w:p>
        </w:tc>
        <w:tc>
          <w:tcPr>
            <w:tcW w:type="dxa" w:w="6623"/>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3"/>
              </w:rPr>
              <w:t>verified, route, sheet, support, compatibility</w:t>
            </w:r>
          </w:p>
        </w:tc>
      </w:tr>
      <w:tr>
        <w:trPr>
          <w:cantSplit/>
        </w:trPr>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G32</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event</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12</w:t>
            </w:r>
          </w:p>
        </w:tc>
        <w:tc>
          <w:tcPr>
            <w:tcW w:type="dxa" w:w="115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4</w:t>
            </w:r>
          </w:p>
        </w:tc>
        <w:tc>
          <w:tcPr>
            <w:tcW w:type="dxa" w:w="2088"/>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lineage_hash</w:t>
            </w:r>
          </w:p>
        </w:tc>
        <w:tc>
          <w:tcPr>
            <w:tcW w:type="dxa" w:w="1655"/>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u32</w:t>
            </w:r>
          </w:p>
        </w:tc>
        <w:tc>
          <w:tcPr>
            <w:tcW w:type="dxa" w:w="6623"/>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3"/>
              </w:rPr>
              <w:t>compact checksum</w:t>
            </w:r>
          </w:p>
        </w:tc>
      </w:tr>
    </w:tbl>
    <w:p>
      <w:pPr>
        <w:spacing w:after="0"/>
      </w:pPr>
    </w:p>
    <w:p>
      <w:pPr>
        <w:pStyle w:val="Heading1"/>
      </w:pPr>
      <w:r>
        <w:t>Appendix D. Source basis and package verification</w:t>
      </w:r>
    </w:p>
    <w:p>
      <w:pPr>
        <w:pStyle w:val="Heading2"/>
      </w:pPr>
      <w:r>
        <w:t>D.1 Source register</w:t>
      </w:r>
    </w:p>
    <w:tbl>
      <w:tblPr>
        <w:tblW w:type="auto" w:w="0"/>
        <w:jc w:val="center"/>
        <w:tblLayout w:type="fixed"/>
        <w:tblLook w:firstColumn="1" w:firstRow="1" w:lastColumn="0" w:lastRow="0" w:noHBand="0" w:noVBand="1" w:val="04A0"/>
        <w:tblBorders>
          <w:top w:val="single" w:sz="4" w:space="0" w:color="C9D3DA"/>
          <w:left w:val="single" w:sz="4" w:space="0" w:color="C9D3DA"/>
          <w:bottom w:val="single" w:sz="4" w:space="0" w:color="C9D3DA"/>
          <w:right w:val="single" w:sz="4" w:space="0" w:color="C9D3DA"/>
          <w:insideH w:val="single" w:sz="4" w:space="0" w:color="C9D3DA"/>
          <w:insideV w:val="single" w:sz="4" w:space="0" w:color="C9D3DA"/>
        </w:tblBorders>
      </w:tblPr>
      <w:tblGrid>
        <w:gridCol w:w="2472"/>
        <w:gridCol w:w="2472"/>
        <w:gridCol w:w="2472"/>
        <w:gridCol w:w="2472"/>
        <w:gridCol w:w="2472"/>
        <w:gridCol w:w="2472"/>
      </w:tblGrid>
      <w:tr>
        <w:trPr>
          <w:tblHeader w:val="true"/>
        </w:trPr>
        <w:tc>
          <w:tcPr>
            <w:tcW w:type="dxa" w:w="72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2"/>
              </w:rPr>
              <w:t>ID</w:t>
            </w:r>
          </w:p>
        </w:tc>
        <w:tc>
          <w:tcPr>
            <w:tcW w:type="dxa" w:w="3600"/>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2"/>
              </w:rPr>
              <w:t>Source title</w:t>
            </w:r>
          </w:p>
        </w:tc>
        <w:tc>
          <w:tcPr>
            <w:tcW w:type="dxa" w:w="792"/>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2"/>
              </w:rPr>
              <w:t>Pages</w:t>
            </w:r>
          </w:p>
        </w:tc>
        <w:tc>
          <w:tcPr>
            <w:tcW w:type="dxa" w:w="194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2"/>
              </w:rPr>
              <w:t>Status</w:t>
            </w:r>
          </w:p>
        </w:tc>
        <w:tc>
          <w:tcPr>
            <w:tcW w:type="dxa" w:w="5256"/>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2"/>
              </w:rPr>
              <w:t>Role</w:t>
            </w:r>
          </w:p>
        </w:tc>
        <w:tc>
          <w:tcPr>
            <w:tcW w:type="dxa" w:w="2664"/>
            <w:vAlign w:val="center"/>
            <w:shd w:fill="0B2A3B"/>
            <w:tcMar>
              <w:top w:w="60" w:type="dxa"/>
              <w:start w:w="70" w:type="dxa"/>
              <w:bottom w:w="60" w:type="dxa"/>
              <w:end w:w="70" w:type="dxa"/>
            </w:tcMar>
          </w:tcPr>
          <w:p>
            <w:pPr>
              <w:spacing w:after="0" w:before="0" w:line="240" w:lineRule="auto"/>
            </w:pPr>
            <w:r/>
            <w:r>
              <w:rPr>
                <w:rFonts w:ascii="Liberation Sans" w:hAnsi="Liberation Sans" w:eastAsia="Liberation Sans"/>
                <w:b/>
                <w:color w:val="FFFFFF"/>
                <w:sz w:val="12"/>
              </w:rPr>
              <w:t>Privacy treatment</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S01</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Glyph-to-bit, 100% and timeline addendum</w:t>
            </w:r>
          </w:p>
        </w:tc>
        <w:tc>
          <w:tcPr>
            <w:tcW w:type="dxa" w:w="7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29</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PRIMARY ADDENDUM</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New addendum: custom glyph encoder, pulse pair, log-polar/SDF register model, trident/cup threshold motif</w:t>
            </w:r>
          </w:p>
        </w:tc>
        <w:tc>
          <w:tcPr>
            <w:tcW w:type="dxa" w:w="26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Personal contextual details omitted from synthesis</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S02</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Zero-based timeline, split oval and overlap geometry</w:t>
            </w:r>
          </w:p>
        </w:tc>
        <w:tc>
          <w:tcPr>
            <w:tcW w:type="dxa" w:w="7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19</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PRIMARY</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Index/ordinal distinction; torsional split-oval; double arches; overlap lens as interference, tolerance and shared domain</w:t>
            </w:r>
          </w:p>
        </w:tc>
        <w:tc>
          <w:tcPr>
            <w:tcW w:type="dxa" w:w="26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Narrative and political material excluded as non-technical</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S03</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Chronological synthesis of the spherical substrate line</w:t>
            </w:r>
          </w:p>
        </w:tc>
        <w:tc>
          <w:tcPr>
            <w:tcW w:type="dxa" w:w="7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12</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CANONICAL</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Mature interpretive rule: queryable relations, support, compatibility, event solving, transition, lineage, novelty log</w:t>
            </w:r>
          </w:p>
        </w:tc>
        <w:tc>
          <w:tcPr>
            <w:tcW w:type="dxa" w:w="26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None</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S04</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Vector graphical art system</w:t>
            </w:r>
          </w:p>
        </w:tc>
        <w:tc>
          <w:tcPr>
            <w:tcW w:type="dxa" w:w="7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10</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TRANSLATED</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Log-polar addressing, SDF/CSG, phasor-like coverage, PDM/delta-sigma, chromatic offsets and prepress output</w:t>
            </w:r>
          </w:p>
        </w:tc>
        <w:tc>
          <w:tcPr>
            <w:tcW w:type="dxa" w:w="26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System name retained only as corpus label</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S05</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Practical waveguide liquid-substrate lensing</w:t>
            </w:r>
          </w:p>
        </w:tc>
        <w:tc>
          <w:tcPr>
            <w:tcW w:type="dxa" w:w="7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12</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CANONICAL HARDWARE</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Bounded optofluidic endpoint, measured B.C.E., benchmark vector, fabrication and kill criteria</w:t>
            </w:r>
          </w:p>
        </w:tc>
        <w:tc>
          <w:tcPr>
            <w:tcW w:type="dxa" w:w="26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None</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S06</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D–phi–torque extended dialogue (title redacted)</w:t>
            </w:r>
          </w:p>
        </w:tc>
        <w:tc>
          <w:tcPr>
            <w:tcW w:type="dxa" w:w="7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52</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EXPLORATORY / DEDUPED</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Large exploratory branch: glyph morphing, parity hinge, SDF cone, Möbius/Klein motifs, fixed-width records, AR/waveguide and speculative biology</w:t>
            </w:r>
          </w:p>
        </w:tc>
        <w:tc>
          <w:tcPr>
            <w:tcW w:type="dxa" w:w="26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Original title contains personal identifiers; excluded</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S07</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D–phi–torque extended variant</w:t>
            </w:r>
          </w:p>
        </w:tc>
        <w:tc>
          <w:tcPr>
            <w:tcW w:type="dxa" w:w="7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42</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EXPLORATORY / DEDUPED</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Near-duplicate branch with a later grounded technical specification and dream/AR analogies</w:t>
            </w:r>
          </w:p>
        </w:tc>
        <w:tc>
          <w:tcPr>
            <w:tcW w:type="dxa" w:w="26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Personal/contextual passages omitted</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S08</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Hollowland double-vacuum exploration</w:t>
            </w:r>
          </w:p>
        </w:tc>
        <w:tc>
          <w:tcPr>
            <w:tcW w:type="dxa" w:w="7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36</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MOTIF SOURCE / CLAIMS AUDITED</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Source of double-vacuum, Klein, hourglass, event horizon, UUID, GPU-native and compression rhetoric</w:t>
            </w:r>
          </w:p>
        </w:tc>
        <w:tc>
          <w:tcPr>
            <w:tcW w:type="dxa" w:w="26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None</w:t>
            </w:r>
          </w:p>
        </w:tc>
      </w:tr>
      <w:tr>
        <w:trPr>
          <w:cantSplit/>
        </w:trPr>
        <w:tc>
          <w:tcPr>
            <w:tcW w:type="dxa" w:w="72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S09</w:t>
            </w:r>
          </w:p>
        </w:tc>
        <w:tc>
          <w:tcPr>
            <w:tcW w:type="dxa" w:w="3600"/>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19, radix thresholds and fractal topology</w:t>
            </w:r>
          </w:p>
        </w:tc>
        <w:tc>
          <w:tcPr>
            <w:tcW w:type="dxa" w:w="792"/>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30</w:t>
            </w:r>
          </w:p>
        </w:tc>
        <w:tc>
          <w:tcPr>
            <w:tcW w:type="dxa" w:w="194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PRIMARY MOTIF SOURCE</w:t>
            </w:r>
          </w:p>
        </w:tc>
        <w:tc>
          <w:tcPr>
            <w:tcW w:type="dxa" w:w="5256"/>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Radix thresholds, active-bit/phonetic map, Pascal parity, Sierpiński, cone/lemniscate/chirality and log-polar motifs</w:t>
            </w:r>
          </w:p>
        </w:tc>
        <w:tc>
          <w:tcPr>
            <w:tcW w:type="dxa" w:w="2664"/>
            <w:vAlign w:val="center"/>
            <w:tcMar>
              <w:top w:w="60" w:type="dxa"/>
              <w:start w:w="70" w:type="dxa"/>
              <w:bottom w:w="60" w:type="dxa"/>
              <w:end w:w="70" w:type="dxa"/>
            </w:tcMar>
          </w:tcPr>
          <w:p>
            <w:pPr>
              <w:spacing w:after="0" w:before="0" w:line="240" w:lineRule="auto"/>
            </w:pPr>
            <w:r/>
            <w:r>
              <w:rPr>
                <w:rFonts w:ascii="Liberation Sans" w:hAnsi="Liberation Sans" w:eastAsia="Liberation Sans"/>
                <w:b w:val="0"/>
                <w:color w:val="1F2937"/>
                <w:sz w:val="12"/>
              </w:rPr>
              <w:t>Personal contextual details omitted</w:t>
            </w:r>
          </w:p>
        </w:tc>
      </w:tr>
      <w:tr>
        <w:trPr>
          <w:cantSplit/>
        </w:trPr>
        <w:tc>
          <w:tcPr>
            <w:tcW w:type="dxa" w:w="72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S10</w:t>
            </w:r>
          </w:p>
        </w:tc>
        <w:tc>
          <w:tcPr>
            <w:tcW w:type="dxa" w:w="3600"/>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D–phi–torque compact variant</w:t>
            </w:r>
          </w:p>
        </w:tc>
        <w:tc>
          <w:tcPr>
            <w:tcW w:type="dxa" w:w="792"/>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34</w:t>
            </w:r>
          </w:p>
        </w:tc>
        <w:tc>
          <w:tcPr>
            <w:tcW w:type="dxa" w:w="194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EXPLORATORY / DEDUPED</w:t>
            </w:r>
          </w:p>
        </w:tc>
        <w:tc>
          <w:tcPr>
            <w:tcW w:type="dxa" w:w="5256"/>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Shorter near-duplicate of the D–phi–torque family; useful for glyph, SDF, fixed-width and waveguide motifs</w:t>
            </w:r>
          </w:p>
        </w:tc>
        <w:tc>
          <w:tcPr>
            <w:tcW w:type="dxa" w:w="2664"/>
            <w:vAlign w:val="center"/>
            <w:tcMar>
              <w:top w:w="60" w:type="dxa"/>
              <w:start w:w="70" w:type="dxa"/>
              <w:bottom w:w="60" w:type="dxa"/>
              <w:end w:w="70" w:type="dxa"/>
            </w:tcMar>
            <w:shd w:fill="F7F9FA"/>
          </w:tcPr>
          <w:p>
            <w:pPr>
              <w:spacing w:after="0" w:before="0" w:line="240" w:lineRule="auto"/>
            </w:pPr>
            <w:r/>
            <w:r>
              <w:rPr>
                <w:rFonts w:ascii="Liberation Sans" w:hAnsi="Liberation Sans" w:eastAsia="Liberation Sans"/>
                <w:b w:val="0"/>
                <w:color w:val="1F2937"/>
                <w:sz w:val="12"/>
              </w:rPr>
              <w:t>Personal identifiers omitted</w:t>
            </w:r>
          </w:p>
        </w:tc>
      </w:tr>
    </w:tbl>
    <w:p>
      <w:pPr>
        <w:spacing w:after="0"/>
      </w:pPr>
    </w:p>
    <w:p>
      <w:pPr>
        <w:pStyle w:val="Heading2"/>
      </w:pPr>
      <w:r>
        <w:t>D.2 Package checks performed</w:t>
      </w:r>
    </w:p>
    <w:p>
      <w:pPr>
        <w:pStyle w:val="ListBullet"/>
        <w:spacing w:after="60" w:line="252" w:lineRule="auto"/>
      </w:pPr>
      <w:r>
        <w:rPr>
          <w:rFonts w:ascii="Liberation Sans" w:hAnsi="Liberation Sans" w:eastAsia="Liberation Sans"/>
        </w:rPr>
        <w:t>Source PDFs hashed; raw text excluded from package.</w:t>
      </w:r>
    </w:p>
    <w:p>
      <w:pPr>
        <w:pStyle w:val="ListBullet"/>
        <w:spacing w:after="60" w:line="252" w:lineRule="auto"/>
      </w:pPr>
      <w:r>
        <w:rPr>
          <w:rFonts w:ascii="Liberation Sans" w:hAnsi="Liberation Sans" w:eastAsia="Liberation Sans"/>
        </w:rPr>
        <w:t>Knowledge catalog count checked at 197 and IDs checked M001-M197.</w:t>
      </w:r>
    </w:p>
    <w:p>
      <w:pPr>
        <w:pStyle w:val="ListBullet"/>
        <w:spacing w:after="60" w:line="252" w:lineRule="auto"/>
      </w:pPr>
      <w:r>
        <w:rPr>
          <w:rFonts w:ascii="Liberation Sans" w:hAnsi="Liberation Sans" w:eastAsia="Liberation Sans"/>
        </w:rPr>
        <w:t>Python oracle and packers executed through 18 tests.</w:t>
      </w:r>
    </w:p>
    <w:p>
      <w:pPr>
        <w:pStyle w:val="ListBullet"/>
        <w:spacing w:after="60" w:line="252" w:lineRule="auto"/>
      </w:pPr>
      <w:r>
        <w:rPr>
          <w:rFonts w:ascii="Liberation Sans" w:hAnsi="Liberation Sans" w:eastAsia="Liberation Sans"/>
        </w:rPr>
        <w:t>SPIR-V modules regenerated from the shader/compiler path and inspected.</w:t>
      </w:r>
    </w:p>
    <w:p>
      <w:pPr>
        <w:pStyle w:val="ListBullet"/>
        <w:spacing w:after="60" w:line="252" w:lineRule="auto"/>
      </w:pPr>
      <w:r>
        <w:rPr>
          <w:rFonts w:ascii="Liberation Sans" w:hAnsi="Liberation Sans" w:eastAsia="Liberation Sans"/>
        </w:rPr>
        <w:t>Direct Vulkan run completed and outputs validated.</w:t>
      </w:r>
    </w:p>
    <w:p>
      <w:pPr>
        <w:pStyle w:val="ListBullet"/>
        <w:spacing w:after="60" w:line="252" w:lineRule="auto"/>
      </w:pPr>
      <w:r>
        <w:rPr>
          <w:rFonts w:ascii="Liberation Sans" w:hAnsi="Liberation Sans" w:eastAsia="Liberation Sans"/>
        </w:rPr>
        <w:t>Benchmark summaries and charts regenerated from the latest native JSON.</w:t>
      </w:r>
    </w:p>
    <w:p>
      <w:pPr>
        <w:pStyle w:val="ListBullet"/>
        <w:spacing w:after="60" w:line="252" w:lineRule="auto"/>
      </w:pPr>
      <w:r>
        <w:rPr>
          <w:rFonts w:ascii="Liberation Sans" w:hAnsi="Liberation Sans" w:eastAsia="Liberation Sans"/>
        </w:rPr>
        <w:t>Report rendered to PDF and visually inspected before packaging.</w:t>
      </w:r>
    </w:p>
    <w:p>
      <w:pPr>
        <w:pStyle w:val="Heading2"/>
      </w:pPr>
      <w:r>
        <w:t>D.3 Reproducibility boundary</w:t>
      </w:r>
    </w:p>
    <w:p>
      <w:pPr>
        <w:spacing w:after="120" w:line="259" w:lineRule="auto"/>
      </w:pPr>
      <w:r>
        <w:rPr>
          <w:rFonts w:ascii="Liberation Sans" w:hAnsi="Liberation Sans" w:eastAsia="Liberation Sans"/>
          <w:i w:val="0"/>
          <w:sz w:val="16"/>
        </w:rPr>
        <w:t>Driver program binaries and pipeline caches are vendor/backend specific. SPIR-V, shader source, ABI, oracle vectors and metric definitions are the portable contract. Physical-device claims require rerunning the package on the named target and measuring full-system energy, error and calibration.</w:t>
      </w:r>
    </w:p>
    <w:p>
      <w:pPr>
        <w:pStyle w:val="Heading2"/>
      </w:pPr>
      <w:r>
        <w:t>D.4 Canonical shorthand</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4832"/>
      </w:tblGrid>
      <w:tr>
        <w:tc>
          <w:tcPr>
            <w:tcW w:type="dxa" w:w="14832"/>
            <w:shd w:fill="F5F7FA"/>
            <w:tcMar>
              <w:top w:w="100" w:type="dxa"/>
              <w:start w:w="120" w:type="dxa"/>
              <w:bottom w:w="100" w:type="dxa"/>
              <w:end w:w="120" w:type="dxa"/>
            </w:tcMar>
          </w:tcPr>
          <w:p>
            <w:pPr>
              <w:spacing w:after="0" w:line="240" w:lineRule="auto"/>
            </w:pPr>
            <w:r/>
            <w:r>
              <w:rPr>
                <w:rFonts w:ascii="Liberation Mono" w:hAnsi="Liberation Mono" w:eastAsia="Liberation Mono"/>
                <w:color w:val="1F2937"/>
                <w:sz w:val="16"/>
              </w:rPr>
              <w:t>local support -&gt; compatibility -&gt; guard crossing</w:t>
            </w:r>
            <w:r>
              <w:br/>
            </w:r>
            <w:r>
              <w:rPr>
                <w:rFonts w:ascii="Liberation Mono" w:hAnsi="Liberation Mono" w:eastAsia="Liberation Mono"/>
                <w:color w:val="1F2937"/>
                <w:sz w:val="16"/>
              </w:rPr>
              <w:t>-&gt; verified event -&gt; route/transition -&gt; lineage + novelty log</w:t>
            </w:r>
          </w:p>
        </w:tc>
      </w:tr>
    </w:tbl>
    <w:p>
      <w:pPr>
        <w:spacing w:after="0"/>
      </w:pPr>
    </w:p>
    <w:sectPr w:rsidR="00FC693F" w:rsidRPr="0006063C" w:rsidSect="00034616">
      <w:headerReference w:type="default" r:id="rId22"/>
      <w:footerReference w:type="default" r:id="rId23"/>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4748B"/>
        <w:sz w:val="14"/>
      </w:rPr>
      <w:t xml:space="preserve">UGTS-GN 1.1 | GPU-native and physical-device addendum | </w:t>
    </w:r>
    <w:r>
      <w:rPr>
        <w:rFonts w:ascii="Liberation Sans" w:hAnsi="Liberation Sans"/>
        <w:color w:val="64748B"/>
        <w:sz w:val="14"/>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4748B"/>
        <w:sz w:val="14"/>
      </w:rPr>
      <w:t xml:space="preserve">UGTS-GN 1.1 | GPU-native and physical-device addendum | </w:t>
    </w:r>
    <w:r>
      <w:rPr>
        <w:rFonts w:ascii="Liberation Sans" w:hAnsi="Liberation Sans"/>
        <w:color w:val="64748B"/>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0E6F75"/>
      </w:pBdr>
    </w:pPr>
    <w:r>
      <w:rPr>
        <w:rFonts w:ascii="Liberation Sans" w:hAnsi="Liberation Sans"/>
        <w:b/>
        <w:color w:val="0E6F75"/>
        <w:sz w:val="14"/>
      </w:rPr>
      <w:t>UNIFIED GEOMETRIC-TOPOLOGICAL SUBSTRATE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0E6F75"/>
      </w:pBdr>
    </w:pPr>
    <w:r>
      <w:rPr>
        <w:rFonts w:ascii="Liberation Sans" w:hAnsi="Liberation Sans"/>
        <w:b/>
        <w:color w:val="0E6F75"/>
        <w:sz w:val="14"/>
      </w:rPr>
      <w:t>UGTS-GN 1.1 | CATALOG AND TECHNICAL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B2A3B"/>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Liberation Sans"/>
      <w:b/>
      <w:bCs/>
      <w:color w:val="0E6F7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0B2A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eastAsia="Liberation Sans"/>
      <w:b w:val="0"/>
      <w:i/>
      <w:iCs/>
      <w:color w:val="0E6F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Geometric-Topological Substrate - GPU-Native Addendum</dc:title>
  <dc:subject>UGTS-GN 1.1 technical synthesis, Vulkan/SPIR-V benchmark, hardware architecture, memory and compression</dc:subject>
  <dc:creator>OpenAI</dc:creator>
  <cp:keywords>geometry, topology, GPU, Vulkan, SPIR-V, event calculus, SDF, hardware, compression</cp:keywords>
  <dc:description>Privacy-safe synthesis of user-provided source corpus.</dc:description>
  <cp:lastModifiedBy/>
  <cp:revision>1</cp:revision>
  <dcterms:created xsi:type="dcterms:W3CDTF">2013-12-23T23:15:00Z</dcterms:created>
  <dcterms:modified xsi:type="dcterms:W3CDTF">2013-12-23T23:15:00Z</dcterms:modified>
  <cp:category/>
</cp:coreProperties>
</file>