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40"/>
      </w:pPr>
    </w:p>
    <w:p>
      <w:pPr>
        <w:spacing w:after="340"/>
      </w:pPr>
    </w:p>
    <w:p>
      <w:pPr>
        <w:spacing w:after="340"/>
      </w:pPr>
    </w:p>
    <w:p>
      <w:pPr>
        <w:spacing w:after="280"/>
        <w:jc w:val="center"/>
      </w:pPr>
      <w:r>
        <w:rPr>
          <w:rFonts w:ascii="Calibri" w:hAnsi="Calibri" w:eastAsia="Calibri"/>
          <w:b/>
          <w:color w:val="7A5A00"/>
          <w:sz w:val="20"/>
        </w:rPr>
        <w:t>INDEPENDENT LAPTOP VERIFICATION</w:t>
      </w:r>
    </w:p>
    <w:p>
      <w:pPr>
        <w:spacing w:after="160"/>
        <w:jc w:val="center"/>
      </w:pPr>
      <w:r>
        <w:rPr>
          <w:rFonts w:ascii="Calibri" w:hAnsi="Calibri" w:eastAsia="Calibri"/>
          <w:b/>
          <w:color w:val="0B2545"/>
          <w:sz w:val="58"/>
        </w:rPr>
        <w:t>KLB OrbitSeed GPU 0.3.0</w:t>
      </w:r>
    </w:p>
    <w:p>
      <w:pPr>
        <w:spacing w:after="140"/>
        <w:jc w:val="center"/>
      </w:pPr>
      <w:r>
        <w:rPr>
          <w:rFonts w:ascii="Calibri" w:hAnsi="Calibri" w:eastAsia="Calibri"/>
          <w:color w:val="1F4D78"/>
          <w:sz w:val="28"/>
        </w:rPr>
        <w:t>Does compact orbit reconstruction beat a dense GPU timeline?</w:t>
      </w:r>
    </w:p>
    <w:p>
      <w:pPr>
        <w:spacing w:after="440"/>
        <w:jc w:val="center"/>
      </w:pPr>
      <w:r>
        <w:rPr>
          <w:rFonts w:ascii="Calibri" w:hAnsi="Calibri" w:eastAsia="Calibri"/>
          <w:i/>
          <w:color w:val="5E6670"/>
          <w:sz w:val="20"/>
        </w:rPr>
        <w:t>Human-readable / ELI5 edition | RTX 5070 Ti Laptop | 16 August 2026</w:t>
      </w:r>
    </w:p>
    <w:p>
      <w:pPr>
        <w:spacing w:before="100" w:after="200" w:line="264" w:lineRule="auto"/>
        <w:ind w:left="115" w:right="115"/>
        <w:shd w:fill="E8EEF5"/>
        <w:pBdr>
          <w:top w:val="single" w:sz="5" w:space="6" w:color="CDD5DF"/>
          <w:left w:val="single" w:sz="5" w:space="6" w:color="CDD5DF"/>
          <w:bottom w:val="single" w:sz="5" w:space="6" w:color="CDD5DF"/>
          <w:right w:val="single" w:sz="5" w:space="6" w:color="CDD5DF"/>
        </w:pBdr>
      </w:pPr>
      <w:r>
        <w:rPr>
          <w:rFonts w:ascii="Calibri" w:hAnsi="Calibri" w:eastAsia="Calibri"/>
          <w:b/>
          <w:color w:val="1F3A5F"/>
          <w:sz w:val="22"/>
        </w:rPr>
        <w:t xml:space="preserve">BOTTOM LINE  </w:t>
      </w:r>
      <w:r>
        <w:rPr>
          <w:rFonts w:ascii="Calibri" w:hAnsi="Calibri" w:eastAsia="Calibri"/>
          <w:color w:val="1A1A1A"/>
          <w:sz w:val="22"/>
        </w:rPr>
        <w:t>The required first-run checks pass and the direct seed path narrowly beats rebuilding and then querying a dense timeline: 0.93% at 295 MiB, 2.19% at 512 MiB, and 2.50% at 2 GiB. It does not beat a dense table that is already resident, and it is not yet an operational orbit product: a stronger full-horizon oracle finds one CPU/GPU support mismatch and no SGP4 accuracy comparison exists.</w:t>
      </w:r>
    </w:p>
    <w:tbl>
      <w:tblPr>
        <w:jc w:val="left"/>
        <w:tblLook w:firstColumn="1" w:firstRow="1" w:lastColumn="0" w:lastRow="0" w:noHBand="0" w:noVBand="1" w:val="04A0"/>
        <w:tblW w:w="9360" w:type="dxa"/>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3120"/>
        <w:gridCol w:w="3120"/>
        <w:gridCol w:w="3120"/>
      </w:tblGrid>
      <w:tr>
        <w:trPr>
          <w:tblHeader w:val="true"/>
        </w:trPr>
        <w:tc>
          <w:tcPr>
            <w:tcW w:type="dxa" w:w="312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512 MiB CROSSOVER</w:t>
            </w:r>
          </w:p>
        </w:tc>
        <w:tc>
          <w:tcPr>
            <w:tcW w:type="dxa" w:w="312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EVENT SET</w:t>
            </w:r>
          </w:p>
        </w:tc>
        <w:tc>
          <w:tcPr>
            <w:tcW w:type="dxa" w:w="312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SANITIZER</w:t>
            </w:r>
          </w:p>
        </w:tc>
      </w:tr>
      <w:tr>
        <w:tc>
          <w:tcPr>
            <w:tcW w:type="dxa" w:w="3120"/>
            <w:vAlign w:val="center"/>
            <w:tcMar>
              <w:top w:w="80" w:type="dxa"/>
              <w:start w:w="120" w:type="dxa"/>
              <w:bottom w:w="80" w:type="dxa"/>
              <w:end w:w="120" w:type="dxa"/>
            </w:tcMar>
          </w:tcPr>
          <w:p>
            <w:pPr>
              <w:spacing w:before="0" w:after="0" w:line="252" w:lineRule="auto"/>
              <w:jc w:val="center"/>
            </w:pPr>
            <w:r/>
            <w:r>
              <w:rPr>
                <w:rFonts w:ascii="Calibri" w:hAnsi="Calibri" w:eastAsia="Calibri"/>
                <w:b/>
                <w:color w:val="1F3A5F"/>
                <w:sz w:val="26"/>
              </w:rPr>
              <w:t>+2.19%</w:t>
            </w:r>
          </w:p>
        </w:tc>
        <w:tc>
          <w:tcPr>
            <w:tcW w:type="dxa" w:w="3120"/>
            <w:vAlign w:val="center"/>
            <w:tcMar>
              <w:top w:w="80" w:type="dxa"/>
              <w:start w:w="120" w:type="dxa"/>
              <w:bottom w:w="80" w:type="dxa"/>
              <w:end w:w="120" w:type="dxa"/>
            </w:tcMar>
          </w:tcPr>
          <w:p>
            <w:pPr>
              <w:spacing w:before="0" w:after="0" w:line="252" w:lineRule="auto"/>
              <w:jc w:val="center"/>
            </w:pPr>
            <w:r/>
            <w:r>
              <w:rPr>
                <w:rFonts w:ascii="Calibri" w:hAnsi="Calibri" w:eastAsia="Calibri"/>
                <w:b/>
                <w:color w:val="1F3A5F"/>
                <w:sz w:val="26"/>
              </w:rPr>
              <w:t>1,243 exact</w:t>
            </w:r>
          </w:p>
        </w:tc>
        <w:tc>
          <w:tcPr>
            <w:tcW w:type="dxa" w:w="3120"/>
            <w:vAlign w:val="center"/>
            <w:tcMar>
              <w:top w:w="80" w:type="dxa"/>
              <w:start w:w="120" w:type="dxa"/>
              <w:bottom w:w="80" w:type="dxa"/>
              <w:end w:w="120" w:type="dxa"/>
            </w:tcMar>
          </w:tcPr>
          <w:p>
            <w:pPr>
              <w:spacing w:before="0" w:after="0" w:line="252" w:lineRule="auto"/>
              <w:jc w:val="center"/>
            </w:pPr>
            <w:r/>
            <w:r>
              <w:rPr>
                <w:rFonts w:ascii="Calibri" w:hAnsi="Calibri" w:eastAsia="Calibri"/>
                <w:b/>
                <w:color w:val="1F3A5F"/>
                <w:sz w:val="26"/>
              </w:rPr>
              <w:t>0 errors</w:t>
            </w:r>
          </w:p>
        </w:tc>
      </w:tr>
    </w:tbl>
    <w:p>
      <w:pPr>
        <w:spacing w:after="0"/>
        <w:jc w:val="center"/>
      </w:pPr>
      <w:r>
        <w:rPr>
          <w:rFonts w:ascii="Calibri" w:hAnsi="Calibri" w:eastAsia="Calibri"/>
          <w:i/>
          <w:color w:val="5E6670"/>
        </w:rPr>
        <w:t>ELI5 analogy: carrying a tiny recipe and cooking the answer on demand just beats unpacking a warehouse-sized freezer for one meal. If the meal is already on the table, the recipe is slower.</w:t>
      </w:r>
    </w:p>
    <w:p>
      <w:pPr>
        <w:sectPr>
          <w:footerReference w:type="first" r:id="rId9"/>
          <w:pgSz w:w="12240" w:h="15840"/>
          <w:pgMar w:top="1440" w:right="1440" w:bottom="1440" w:left="1440" w:header="708" w:footer="708" w:gutter="0"/>
          <w:cols w:space="720"/>
          <w:titlePg/>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1. Verdict in plain English</w:t>
      </w:r>
    </w:p>
    <w:p>
      <w:pPr>
        <w:spacing w:before="100" w:after="200" w:line="264" w:lineRule="auto"/>
        <w:ind w:left="115" w:right="115"/>
        <w:shd w:fill="F4F6F9"/>
        <w:pBdr>
          <w:top w:val="single" w:sz="5" w:space="6" w:color="CDD5DF"/>
          <w:left w:val="single" w:sz="5" w:space="6" w:color="CDD5DF"/>
          <w:bottom w:val="single" w:sz="5" w:space="6" w:color="CDD5DF"/>
          <w:right w:val="single" w:sz="5" w:space="6" w:color="CDD5DF"/>
        </w:pBdr>
      </w:pPr>
      <w:r>
        <w:rPr>
          <w:rFonts w:ascii="Calibri" w:hAnsi="Calibri" w:eastAsia="Calibri"/>
          <w:b/>
          <w:color w:val="1F3A5F"/>
          <w:sz w:val="22"/>
        </w:rPr>
        <w:t xml:space="preserve">VERDICT  </w:t>
      </w:r>
      <w:r>
        <w:rPr>
          <w:rFonts w:ascii="Calibri" w:hAnsi="Calibri" w:eastAsia="Calibri"/>
          <w:color w:val="1A1A1A"/>
          <w:sz w:val="22"/>
        </w:rPr>
        <w:t>PASS as a CUDA compression/crossover experiment. CONDITIONAL as a coarse scheduling engine. NO-GO for navigation, collision avoidance, precise antenna pointing, or any claim of verified SGP4-quality ephemerides.</w:t>
      </w:r>
    </w:p>
    <w:p>
      <w:pPr>
        <w:pStyle w:val="Heading2"/>
        <w:keepNext/>
      </w:pPr>
      <w:r>
        <w:t>What it actually does</w:t>
      </w:r>
    </w:p>
    <w:p>
      <w:pPr>
        <w:spacing w:after="120"/>
      </w:pPr>
      <w:r>
        <w:rPr>
          <w:rFonts w:ascii="Calibri" w:hAnsi="Calibri" w:eastAsia="Calibri"/>
          <w:i w:val="0"/>
          <w:color w:val="1A1A1A"/>
        </w:rPr>
        <w:t>The file stores 32 GPS orbital mean-element seeds plus seven daily chain nodes in 3,809 bytes. At query time, the GPU reconstructs two adjacent satellite positions, checks station range and route compatibility, evaluates a 10-degree elevation guard, and emits acquisition/loss events.</w:t>
      </w:r>
    </w:p>
    <w:p>
      <w:pPr>
        <w:spacing w:after="120"/>
      </w:pPr>
      <w:r>
        <w:rPr>
          <w:rFonts w:ascii="Calibri" w:hAnsi="Calibri" w:eastAsia="Calibri"/>
          <w:i w:val="0"/>
          <w:color w:val="1A1A1A"/>
        </w:rPr>
        <w:t>The seven-day test spans 604,800 one-second intervals and 19,353,600 satellite-time candidates. A dense float4 position timeline for the same declared horizon is 309,658,112 bytes (295.3 MiB). The larger stress presets repeat that bounded timeline only to create load.</w:t>
      </w:r>
    </w:p>
    <w:p>
      <w:pPr>
        <w:pStyle w:val="Heading2"/>
        <w:keepNext/>
      </w:pPr>
      <w:r>
        <w:t>The four acceptance gates</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3000"/>
        <w:gridCol w:w="1200"/>
        <w:gridCol w:w="5160"/>
      </w:tblGrid>
      <w:tr>
        <w:trPr>
          <w:tblHeader w:val="true"/>
        </w:trPr>
        <w:tc>
          <w:tcPr>
            <w:tcW w:type="dxa" w:w="30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Gate</w:t>
            </w:r>
          </w:p>
        </w:tc>
        <w:tc>
          <w:tcPr>
            <w:tcW w:type="dxa" w:w="12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Result</w:t>
            </w:r>
          </w:p>
        </w:tc>
        <w:tc>
          <w:tcPr>
            <w:tcW w:type="dxa" w:w="516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Evidence</w:t>
            </w:r>
          </w:p>
        </w:tc>
      </w:tr>
      <w:tr>
        <w:tc>
          <w:tcPr>
            <w:tcW w:type="dxa" w:w="30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CPU/GPU oracle prefix</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PASS</w:t>
            </w:r>
          </w:p>
        </w:tc>
        <w:tc>
          <w:tcPr>
            <w:tcW w:type="dxa" w:w="5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4,096 epochs; exact aggregate counters</w:t>
            </w:r>
          </w:p>
        </w:tc>
      </w:tr>
      <w:tr>
        <w:tc>
          <w:tcPr>
            <w:tcW w:type="dxa" w:w="30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Direct/dense counters</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PASS</w:t>
            </w:r>
          </w:p>
        </w:tc>
        <w:tc>
          <w:tcPr>
            <w:tcW w:type="dxa" w:w="5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Equal in file, 512 MiB, and 2 GiB runs</w:t>
            </w:r>
          </w:p>
        </w:tc>
      </w:tr>
      <w:tr>
        <w:tc>
          <w:tcPr>
            <w:tcW w:type="dxa" w:w="30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Compacted event sets</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PASS</w:t>
            </w:r>
          </w:p>
        </w:tc>
        <w:tc>
          <w:tcPr>
            <w:tcW w:type="dxa" w:w="5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717 / 1,243 / 4,970 sorted events matched</w:t>
            </w:r>
          </w:p>
        </w:tc>
      </w:tr>
      <w:tr>
        <w:tc>
          <w:tcPr>
            <w:tcW w:type="dxa" w:w="30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Event output truncated</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PASS</w:t>
            </w:r>
          </w:p>
        </w:tc>
        <w:tc>
          <w:tcPr>
            <w:tcW w:type="dxa" w:w="5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No, for every measured run</w:t>
            </w:r>
          </w:p>
        </w:tc>
      </w:tr>
    </w:tbl>
    <w:p>
      <w:pPr>
        <w:spacing w:after="60"/>
      </w:pPr>
    </w:p>
    <w:p>
      <w:pPr>
        <w:pStyle w:val="Heading2"/>
        <w:keepNext/>
      </w:pPr>
      <w:r>
        <w:t>What the result does not mean</w:t>
      </w:r>
    </w:p>
    <w:p>
      <w:pPr>
        <w:spacing w:after="80" w:line="280" w:lineRule="auto"/>
        <w:ind w:left="720" w:hanging="360"/>
        <w:numPr>
          <w:ilvl w:val="0"/>
          <w:numId w:val="10"/>
        </w:numPr>
      </w:pPr>
      <w:r>
        <w:rPr>
          <w:rFonts w:ascii="Calibri" w:hAnsi="Calibri" w:eastAsia="Calibri"/>
          <w:color w:val="1A1A1A"/>
        </w:rPr>
        <w:t>It is model-based reconstruction, not lossless compression of a pre-existing 295 MiB trajectory file.</w:t>
      </w:r>
    </w:p>
    <w:p>
      <w:pPr>
        <w:spacing w:after="80" w:line="280" w:lineRule="auto"/>
        <w:ind w:left="720" w:hanging="360"/>
        <w:numPr>
          <w:ilvl w:val="0"/>
          <w:numId w:val="10"/>
        </w:numPr>
      </w:pPr>
      <w:r>
        <w:rPr>
          <w:rFonts w:ascii="Calibri" w:hAnsi="Calibri" w:eastAsia="Calibri"/>
          <w:color w:val="1A1A1A"/>
        </w:rPr>
        <w:t>The current predictor is fixed-iteration Kepler plus secular J2, not SGP4 and not navigation-grade.</w:t>
      </w:r>
    </w:p>
    <w:p>
      <w:pPr>
        <w:spacing w:after="80" w:line="280" w:lineRule="auto"/>
        <w:ind w:left="720" w:hanging="360"/>
        <w:numPr>
          <w:ilvl w:val="0"/>
          <w:numId w:val="10"/>
        </w:numPr>
      </w:pPr>
      <w:r>
        <w:rPr>
          <w:rFonts w:ascii="Calibri" w:hAnsi="Calibri" w:eastAsia="Calibri"/>
          <w:color w:val="1A1A1A"/>
        </w:rPr>
        <w:t>An 81,296x horizon ratio does not mean the predictor is free; it trades stored positions for trigonometric GPU work.</w:t>
      </w:r>
    </w:p>
    <w:p>
      <w:pPr>
        <w:sectPr>
          <w:footerReference w:type="default" r:id="rId10"/>
          <w:pgSz w:w="12240" w:h="15840"/>
          <w:pgMar w:top="792" w:right="1440" w:bottom="1440" w:left="1440" w:header="708" w:footer="708" w:gutter="0"/>
          <w:cols w:space="720"/>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2. Test platform and build evidence</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2200"/>
        <w:gridCol w:w="7160"/>
      </w:tblGrid>
      <w:tr>
        <w:trPr>
          <w:tblHeader w:val="true"/>
        </w:trPr>
        <w:tc>
          <w:tcPr>
            <w:tcW w:type="dxa" w:w="22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Item</w:t>
            </w:r>
          </w:p>
        </w:tc>
        <w:tc>
          <w:tcPr>
            <w:tcW w:type="dxa" w:w="716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Measured configuration</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GPU</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NVIDIA GeForce RTX 5070 Ti Laptop GPU; compute capability 12.0</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Memory / topology</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12,227 MiB reported global memory; 46 SMs; 36 MiB L2; 192-bit bus</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Driver</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NVIDIA 591.59</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CUDA compiler</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12.8.61 explicitly selected</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Host compiler</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MSVC 19.44 / Visual Studio 2022 Build Tools</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Code generation</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Native sm_120 cubin plus compute_120 PTX</w:t>
            </w:r>
          </w:p>
        </w:tc>
      </w:tr>
    </w:tbl>
    <w:p>
      <w:pPr>
        <w:spacing w:after="60"/>
      </w:pPr>
    </w:p>
    <w:p>
      <w:pPr>
        <w:pStyle w:val="Heading2"/>
        <w:keepNext/>
      </w:pPr>
      <w:r>
        <w:t>Build outcome</w:t>
      </w:r>
    </w:p>
    <w:p>
      <w:pPr>
        <w:spacing w:after="120"/>
      </w:pPr>
      <w:r>
        <w:rPr>
          <w:rFonts w:ascii="Calibri" w:hAnsi="Calibri" w:eastAsia="Calibri"/>
          <w:i w:val="0"/>
          <w:color w:val="1A1A1A"/>
        </w:rPr>
        <w:t>The package's build_windows.ps1 was first run unchanged. CMake reported that no CUDA compiler was found, MSBuild then reported a missing project, CTest found no tests, and the helper still exited 0. That is false success and must be fixed.</w:t>
      </w:r>
    </w:p>
    <w:p>
      <w:pPr>
        <w:spacing w:before="100" w:after="200" w:line="264" w:lineRule="auto"/>
        <w:ind w:left="115" w:right="115"/>
        <w:shd w:fill="E8EEF5"/>
        <w:pBdr>
          <w:top w:val="single" w:sz="5" w:space="6" w:color="CDD5DF"/>
          <w:left w:val="single" w:sz="5" w:space="6" w:color="CDD5DF"/>
          <w:bottom w:val="single" w:sz="5" w:space="6" w:color="CDD5DF"/>
          <w:right w:val="single" w:sz="5" w:space="6" w:color="CDD5DF"/>
        </w:pBdr>
      </w:pPr>
      <w:r>
        <w:rPr>
          <w:rFonts w:ascii="Calibri" w:hAnsi="Calibri" w:eastAsia="Calibri"/>
          <w:b/>
          <w:color w:val="1F3A5F"/>
          <w:sz w:val="22"/>
        </w:rPr>
        <w:t xml:space="preserve">RECOVERY USED  </w:t>
      </w:r>
      <w:r>
        <w:rPr>
          <w:rFonts w:ascii="Calibri" w:hAnsi="Calibri" w:eastAsia="Calibri"/>
          <w:color w:val="1A1A1A"/>
          <w:sz w:val="22"/>
        </w:rPr>
        <w:t>A separate Visual Studio build directory explicitly selected the installed CUDA 12.8 toolset. No source or algorithm change was needed. That build succeeded, both CPU test suites passed, and the executable contains both sm_120 machine code and compute_120 PTX.</w:t>
      </w:r>
    </w:p>
    <w:p>
      <w:pPr>
        <w:pStyle w:val="Heading2"/>
        <w:keepNext/>
      </w:pPr>
      <w:r>
        <w:t>Static compiler evidence</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3800"/>
        <w:gridCol w:w="1960"/>
        <w:gridCol w:w="1400"/>
        <w:gridCol w:w="2200"/>
      </w:tblGrid>
      <w:tr>
        <w:trPr>
          <w:tblHeader w:val="true"/>
        </w:trPr>
        <w:tc>
          <w:tcPr>
            <w:tcW w:type="dxa" w:w="38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Kernel</w:t>
            </w:r>
          </w:p>
        </w:tc>
        <w:tc>
          <w:tcPr>
            <w:tcW w:type="dxa" w:w="196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Registers/thread</w:t>
            </w:r>
          </w:p>
        </w:tc>
        <w:tc>
          <w:tcPr>
            <w:tcW w:type="dxa" w:w="14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Spills</w:t>
            </w:r>
          </w:p>
        </w:tc>
        <w:tc>
          <w:tcPr>
            <w:tcW w:type="dxa" w:w="22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Shared bytes</w:t>
            </w:r>
          </w:p>
        </w:tc>
      </w:tr>
      <w:tr>
        <w:tc>
          <w:tcPr>
            <w:tcW w:type="dxa" w:w="38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Materialize dense</w:t>
            </w:r>
          </w:p>
        </w:tc>
        <w:tc>
          <w:tcPr>
            <w:tcW w:type="dxa" w:w="19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32</w:t>
            </w:r>
          </w:p>
        </w:tc>
        <w:tc>
          <w:tcPr>
            <w:tcW w:type="dxa" w:w="14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w:t>
            </w:r>
          </w:p>
        </w:tc>
        <w:tc>
          <w:tcPr>
            <w:tcW w:type="dxa" w:w="2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w:t>
            </w:r>
          </w:p>
        </w:tc>
      </w:tr>
      <w:tr>
        <w:tc>
          <w:tcPr>
            <w:tcW w:type="dxa" w:w="38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Direct seed count</w:t>
            </w:r>
          </w:p>
        </w:tc>
        <w:tc>
          <w:tcPr>
            <w:tcW w:type="dxa" w:w="19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46</w:t>
            </w:r>
          </w:p>
        </w:tc>
        <w:tc>
          <w:tcPr>
            <w:tcW w:type="dxa" w:w="14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w:t>
            </w:r>
          </w:p>
        </w:tc>
        <w:tc>
          <w:tcPr>
            <w:tcW w:type="dxa" w:w="2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1,152</w:t>
            </w:r>
          </w:p>
        </w:tc>
      </w:tr>
      <w:tr>
        <w:tc>
          <w:tcPr>
            <w:tcW w:type="dxa" w:w="38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Resident dense count</w:t>
            </w:r>
          </w:p>
        </w:tc>
        <w:tc>
          <w:tcPr>
            <w:tcW w:type="dxa" w:w="19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33</w:t>
            </w:r>
          </w:p>
        </w:tc>
        <w:tc>
          <w:tcPr>
            <w:tcW w:type="dxa" w:w="14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w:t>
            </w:r>
          </w:p>
        </w:tc>
        <w:tc>
          <w:tcPr>
            <w:tcW w:type="dxa" w:w="2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1,152</w:t>
            </w:r>
          </w:p>
        </w:tc>
      </w:tr>
      <w:tr>
        <w:tc>
          <w:tcPr>
            <w:tcW w:type="dxa" w:w="38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Direct seed compact</w:t>
            </w:r>
          </w:p>
        </w:tc>
        <w:tc>
          <w:tcPr>
            <w:tcW w:type="dxa" w:w="19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52</w:t>
            </w:r>
          </w:p>
        </w:tc>
        <w:tc>
          <w:tcPr>
            <w:tcW w:type="dxa" w:w="14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w:t>
            </w:r>
          </w:p>
        </w:tc>
        <w:tc>
          <w:tcPr>
            <w:tcW w:type="dxa" w:w="2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1,152</w:t>
            </w:r>
          </w:p>
        </w:tc>
      </w:tr>
      <w:tr>
        <w:tc>
          <w:tcPr>
            <w:tcW w:type="dxa" w:w="38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Resident dense compact</w:t>
            </w:r>
          </w:p>
        </w:tc>
        <w:tc>
          <w:tcPr>
            <w:tcW w:type="dxa" w:w="19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40</w:t>
            </w:r>
          </w:p>
        </w:tc>
        <w:tc>
          <w:tcPr>
            <w:tcW w:type="dxa" w:w="14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w:t>
            </w:r>
          </w:p>
        </w:tc>
        <w:tc>
          <w:tcPr>
            <w:tcW w:type="dxa" w:w="2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1,152</w:t>
            </w:r>
          </w:p>
        </w:tc>
      </w:tr>
    </w:tbl>
    <w:p>
      <w:pPr>
        <w:spacing w:after="60"/>
      </w:pPr>
    </w:p>
    <w:p>
      <w:pPr>
        <w:spacing w:after="120"/>
      </w:pPr>
      <w:r>
        <w:rPr>
          <w:rFonts w:ascii="Calibri" w:hAnsi="Calibri" w:eastAsia="Calibri"/>
          <w:i/>
          <w:color w:val="5E6670"/>
        </w:rPr>
        <w:t>The direct seed kernels use more registers because they reconstruct orbital state and evaluate trigonometric guards. Register spills were zero. Achieved occupancy still requires hardware-counter access and was not measured.</w:t>
      </w:r>
    </w:p>
    <w:p>
      <w:pPr>
        <w:sectPr>
          <w:footerReference w:type="default" r:id="rId11"/>
          <w:pgSz w:w="12240" w:h="15840"/>
          <w:pgMar w:top="792" w:right="1440" w:bottom="1440" w:left="1440" w:header="708" w:footer="708" w:gutter="0"/>
          <w:cols w:space="720"/>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3. Actual seven-day application</w:t>
      </w:r>
    </w:p>
    <w:p>
      <w:pPr>
        <w:spacing w:after="120"/>
      </w:pPr>
      <w:r>
        <w:rPr>
          <w:rFonts w:ascii="Calibri" w:hAnsi="Calibri" w:eastAsia="Calibri"/>
          <w:i w:val="0"/>
          <w:color w:val="1A1A1A"/>
        </w:rPr>
        <w:t>The CPU application rebuilt a 52 N, 5 E coarse acquisition/loss schedule over the complete seven-day horizon. It processed 19,353,600 candidate intervals and emitted 717 events. The GPU benchmark then measured six paths over the same file horizon.</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3300"/>
        <w:gridCol w:w="1515"/>
        <w:gridCol w:w="1515"/>
        <w:gridCol w:w="1515"/>
        <w:gridCol w:w="1515"/>
      </w:tblGrid>
      <w:tr>
        <w:trPr>
          <w:tblHeader w:val="true"/>
        </w:trPr>
        <w:tc>
          <w:tcPr>
            <w:tcW w:type="dxa" w:w="33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Mode</w:t>
            </w:r>
          </w:p>
        </w:tc>
        <w:tc>
          <w:tcPr>
            <w:tcW w:type="dxa" w:w="1515"/>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p50 ms</w:t>
            </w:r>
          </w:p>
        </w:tc>
        <w:tc>
          <w:tcPr>
            <w:tcW w:type="dxa" w:w="1515"/>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p95 ms</w:t>
            </w:r>
          </w:p>
        </w:tc>
        <w:tc>
          <w:tcPr>
            <w:tcW w:type="dxa" w:w="1515"/>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p99 ms</w:t>
            </w:r>
          </w:p>
        </w:tc>
        <w:tc>
          <w:tcPr>
            <w:tcW w:type="dxa" w:w="1515"/>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Mean ms</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Direct seed query</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3.689</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3.705</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3.705</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3.682</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Materialize dense</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3.062</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3.083</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3.083</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3.066</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Query resident dense</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0.786</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0.809</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0.809</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0.774</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Materialize + query</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3.724</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4.009</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4.009</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3.789</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Direct + compact</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4.287</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4.304</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4.304</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4.290</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Dense + compact</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1.290</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1.338</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1.338</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1.288</w:t>
            </w:r>
          </w:p>
        </w:tc>
      </w:tr>
    </w:tbl>
    <w:p>
      <w:pPr>
        <w:spacing w:after="60"/>
      </w:pPr>
    </w:p>
    <w:p>
      <w:pPr>
        <w:spacing w:before="100" w:after="200" w:line="264" w:lineRule="auto"/>
        <w:ind w:left="115" w:right="115"/>
        <w:shd w:fill="E8EEF5"/>
        <w:pBdr>
          <w:top w:val="single" w:sz="5" w:space="6" w:color="CDD5DF"/>
          <w:left w:val="single" w:sz="5" w:space="6" w:color="CDD5DF"/>
          <w:bottom w:val="single" w:sz="5" w:space="6" w:color="CDD5DF"/>
          <w:right w:val="single" w:sz="5" w:space="6" w:color="CDD5DF"/>
        </w:pBdr>
      </w:pPr>
      <w:r>
        <w:rPr>
          <w:rFonts w:ascii="Calibri" w:hAnsi="Calibri" w:eastAsia="Calibri"/>
          <w:b/>
          <w:color w:val="1F3A5F"/>
          <w:sz w:val="22"/>
        </w:rPr>
        <w:t xml:space="preserve">CROSSOVER  </w:t>
      </w:r>
      <w:r>
        <w:rPr>
          <w:rFonts w:ascii="Calibri" w:hAnsi="Calibri" w:eastAsia="Calibri"/>
          <w:color w:val="1A1A1A"/>
          <w:sz w:val="22"/>
        </w:rPr>
        <w:t>Direct seed was 3.689 ms versus 3.724 ms end-to-end dense: a 0.93% p50 advantage while avoiding a 295.3 MiB table. But it was 4.70x slower than querying a dense table that already existed.</w:t>
      </w:r>
    </w:p>
    <w:p>
      <w:pPr>
        <w:pStyle w:val="Heading2"/>
        <w:keepNext/>
      </w:pPr>
      <w:r>
        <w:t>Useful CPU output</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5200"/>
        <w:gridCol w:w="4160"/>
      </w:tblGrid>
      <w:tr>
        <w:trPr>
          <w:tblHeader w:val="true"/>
        </w:trPr>
        <w:tc>
          <w:tcPr>
            <w:tcW w:type="dxa" w:w="52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Counter</w:t>
            </w:r>
          </w:p>
        </w:tc>
        <w:tc>
          <w:tcPr>
            <w:tcW w:type="dxa" w:w="416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Result</w:t>
            </w:r>
          </w:p>
        </w:tc>
      </w:tr>
      <w:tr>
        <w:tc>
          <w:tcPr>
            <w:tcW w:type="dxa" w:w="5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Candidate intervals</w:t>
            </w:r>
          </w:p>
        </w:tc>
        <w:tc>
          <w:tcPr>
            <w:tcW w:type="dxa" w:w="41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19,353,600</w:t>
            </w:r>
          </w:p>
        </w:tc>
      </w:tr>
      <w:tr>
        <w:tc>
          <w:tcPr>
            <w:tcW w:type="dxa" w:w="5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Support / compatible intervals</w:t>
            </w:r>
          </w:p>
        </w:tc>
        <w:tc>
          <w:tcPr>
            <w:tcW w:type="dxa" w:w="41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19,214,155 / 19,214,155</w:t>
            </w:r>
          </w:p>
        </w:tc>
      </w:tr>
      <w:tr>
        <w:tc>
          <w:tcPr>
            <w:tcW w:type="dxa" w:w="5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Visible sample states</w:t>
            </w:r>
          </w:p>
        </w:tc>
        <w:tc>
          <w:tcPr>
            <w:tcW w:type="dxa" w:w="41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5,498,030</w:t>
            </w:r>
          </w:p>
        </w:tc>
      </w:tr>
      <w:tr>
        <w:tc>
          <w:tcPr>
            <w:tcW w:type="dxa" w:w="5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Acquisition/loss events</w:t>
            </w:r>
          </w:p>
        </w:tc>
        <w:tc>
          <w:tcPr>
            <w:tcW w:type="dxa" w:w="41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717</w:t>
            </w:r>
          </w:p>
        </w:tc>
      </w:tr>
    </w:tbl>
    <w:p>
      <w:pPr>
        <w:spacing w:after="60"/>
      </w:pPr>
    </w:p>
    <w:p>
      <w:pPr>
        <w:sectPr>
          <w:footerReference w:type="default" r:id="rId12"/>
          <w:pgSz w:w="12240" w:h="15840"/>
          <w:pgMar w:top="792" w:right="1440" w:bottom="1440" w:left="1440" w:header="708" w:footer="708" w:gutter="0"/>
          <w:cols w:space="720"/>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4. Sustained 512 MiB laptop result</w:t>
      </w:r>
    </w:p>
    <w:p>
      <w:pPr>
        <w:spacing w:after="120"/>
      </w:pPr>
      <w:r>
        <w:rPr>
          <w:rFonts w:ascii="Calibri" w:hAnsi="Calibri" w:eastAsia="Calibri"/>
          <w:i w:val="0"/>
          <w:color w:val="1A1A1A"/>
        </w:rPr>
        <w:t>The required laptop preset processed 33,554,432 satellite-time candidates and held a 512.000 MiB dense baseline. Each latency sample auto-repeated until it reached at least 250 ms; eleven samples were recorded.</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3300"/>
        <w:gridCol w:w="1450"/>
        <w:gridCol w:w="1450"/>
        <w:gridCol w:w="1450"/>
        <w:gridCol w:w="1710"/>
      </w:tblGrid>
      <w:tr>
        <w:trPr>
          <w:tblHeader w:val="true"/>
        </w:trPr>
        <w:tc>
          <w:tcPr>
            <w:tcW w:type="dxa" w:w="33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Mode</w:t>
            </w:r>
          </w:p>
        </w:tc>
        <w:tc>
          <w:tcPr>
            <w:tcW w:type="dxa" w:w="14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p50 ms</w:t>
            </w:r>
          </w:p>
        </w:tc>
        <w:tc>
          <w:tcPr>
            <w:tcW w:type="dxa" w:w="14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p95 ms</w:t>
            </w:r>
          </w:p>
        </w:tc>
        <w:tc>
          <w:tcPr>
            <w:tcW w:type="dxa" w:w="14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p99 ms</w:t>
            </w:r>
          </w:p>
        </w:tc>
        <w:tc>
          <w:tcPr>
            <w:tcW w:type="dxa" w:w="171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Inner repeats</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Direct seed query</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6.608</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6.665</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6.665</w:t>
            </w:r>
          </w:p>
        </w:tc>
        <w:tc>
          <w:tcPr>
            <w:tcW w:type="dxa" w:w="17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39</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Materialize dense</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5.313</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5.318</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5.318</w:t>
            </w:r>
          </w:p>
        </w:tc>
        <w:tc>
          <w:tcPr>
            <w:tcW w:type="dxa" w:w="17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46</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Query resident dense</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1.474</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1.570</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1.570</w:t>
            </w:r>
          </w:p>
        </w:tc>
        <w:tc>
          <w:tcPr>
            <w:tcW w:type="dxa" w:w="17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197</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Materialize + query</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6.757</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6.830</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6.830</w:t>
            </w:r>
          </w:p>
        </w:tc>
        <w:tc>
          <w:tcPr>
            <w:tcW w:type="dxa" w:w="17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34</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Direct + compact</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7.496</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7.514</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7.514</w:t>
            </w:r>
          </w:p>
        </w:tc>
        <w:tc>
          <w:tcPr>
            <w:tcW w:type="dxa" w:w="17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31</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Dense + compact</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2.441</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2.490</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2.490</w:t>
            </w:r>
          </w:p>
        </w:tc>
        <w:tc>
          <w:tcPr>
            <w:tcW w:type="dxa" w:w="17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108</w:t>
            </w:r>
          </w:p>
        </w:tc>
      </w:tr>
    </w:tbl>
    <w:p>
      <w:pPr>
        <w:spacing w:after="60"/>
      </w:pPr>
    </w:p>
    <w:p>
      <w:pPr>
        <w:spacing w:before="100" w:after="200" w:line="264" w:lineRule="auto"/>
        <w:ind w:left="115" w:right="115"/>
        <w:shd w:fill="E8EEF5"/>
        <w:pBdr>
          <w:top w:val="single" w:sz="5" w:space="6" w:color="CDD5DF"/>
          <w:left w:val="single" w:sz="5" w:space="6" w:color="CDD5DF"/>
          <w:bottom w:val="single" w:sz="5" w:space="6" w:color="CDD5DF"/>
          <w:right w:val="single" w:sz="5" w:space="6" w:color="CDD5DF"/>
        </w:pBdr>
      </w:pPr>
      <w:r>
        <w:rPr>
          <w:rFonts w:ascii="Calibri" w:hAnsi="Calibri" w:eastAsia="Calibri"/>
          <w:b/>
          <w:color w:val="1F3A5F"/>
          <w:sz w:val="22"/>
        </w:rPr>
        <w:t xml:space="preserve">LAPTOP DECISION  </w:t>
      </w:r>
      <w:r>
        <w:rPr>
          <w:rFonts w:ascii="Calibri" w:hAnsi="Calibri" w:eastAsia="Calibri"/>
          <w:color w:val="1A1A1A"/>
          <w:sz w:val="22"/>
        </w:rPr>
        <w:t>Direct seed was 6.608 ms and end-to-end dense was 6.757 ms: direct won by 2.19%. It delivered 5.078 billion candidates/s. The compact path emitted 1,243 exact events without truncation.</w:t>
      </w:r>
    </w:p>
    <w:p>
      <w:pPr>
        <w:pStyle w:val="Heading2"/>
        <w:keepNext/>
      </w:pPr>
      <w:r>
        <w:t>Why this is only a narrow win</w:t>
      </w:r>
    </w:p>
    <w:p>
      <w:pPr>
        <w:spacing w:after="120"/>
      </w:pPr>
      <w:r>
        <w:rPr>
          <w:rFonts w:ascii="Calibri" w:hAnsi="Calibri" w:eastAsia="Calibri"/>
          <w:i w:val="0"/>
          <w:color w:val="1A1A1A"/>
        </w:rPr>
        <w:t>A resident dense query took only 1.474 ms, making direct reconstruction 4.48x slower for repeated queries against the same table. Direct reconstruction is useful when materialization is avoided or the dense working set cannot remain resident; it is not a blanket replacement for reuse.</w:t>
      </w:r>
    </w:p>
    <w:p>
      <w:pPr>
        <w:spacing w:after="120"/>
      </w:pPr>
      <w:r>
        <w:rPr>
          <w:rFonts w:ascii="Calibri" w:hAnsi="Calibri" w:eastAsia="Calibri"/>
          <w:i w:val="0"/>
          <w:color w:val="1A1A1A"/>
        </w:rPr>
        <w:t>Warp-compacted direct output cost 7.496 ms, 13.43% above counting alone even though event yield was only 0.003704%. Compaction overhead is measurable despite sparse output.</w:t>
      </w:r>
    </w:p>
    <w:p>
      <w:pPr>
        <w:sectPr>
          <w:footerReference w:type="default" r:id="rId13"/>
          <w:pgSz w:w="12240" w:h="15840"/>
          <w:pgMar w:top="792" w:right="1440" w:bottom="1440" w:left="1440" w:header="708" w:footer="708" w:gutter="0"/>
          <w:cols w:space="720"/>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5. Optional 2 GiB comparison and scaling</w:t>
      </w:r>
    </w:p>
    <w:p>
      <w:pPr>
        <w:spacing w:after="120"/>
      </w:pPr>
      <w:r>
        <w:rPr>
          <w:rFonts w:ascii="Calibri" w:hAnsi="Calibri" w:eastAsia="Calibri"/>
          <w:i w:val="0"/>
          <w:color w:val="1A1A1A"/>
        </w:rPr>
        <w:t>The optional vram preset was safe to run with more than 11.5 GiB initially free. It processed 134,217,728 candidates and allocated a 2,048.000 MiB dense position baseline. The bounded seven-day timeline was repeated for load; this is not a 48-day physical prediction.</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2300"/>
        <w:gridCol w:w="1100"/>
        <w:gridCol w:w="1250"/>
        <w:gridCol w:w="1400"/>
        <w:gridCol w:w="1300"/>
        <w:gridCol w:w="1200"/>
        <w:gridCol w:w="810"/>
      </w:tblGrid>
      <w:tr>
        <w:trPr>
          <w:tblHeader w:val="true"/>
        </w:trPr>
        <w:tc>
          <w:tcPr>
            <w:tcW w:type="dxa" w:w="23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Preset</w:t>
            </w:r>
          </w:p>
        </w:tc>
        <w:tc>
          <w:tcPr>
            <w:tcW w:type="dxa" w:w="11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Dense MiB</w:t>
            </w:r>
          </w:p>
        </w:tc>
        <w:tc>
          <w:tcPr>
            <w:tcW w:type="dxa" w:w="12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Direct</w:t>
            </w:r>
          </w:p>
        </w:tc>
        <w:tc>
          <w:tcPr>
            <w:tcW w:type="dxa" w:w="14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End dense</w:t>
            </w:r>
          </w:p>
        </w:tc>
        <w:tc>
          <w:tcPr>
            <w:tcW w:type="dxa" w:w="13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Direct win</w:t>
            </w:r>
          </w:p>
        </w:tc>
        <w:tc>
          <w:tcPr>
            <w:tcW w:type="dxa" w:w="12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vs resident</w:t>
            </w:r>
          </w:p>
        </w:tc>
        <w:tc>
          <w:tcPr>
            <w:tcW w:type="dxa" w:w="81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Events</w:t>
            </w:r>
          </w:p>
        </w:tc>
      </w:tr>
      <w:tr>
        <w:tc>
          <w:tcPr>
            <w:tcW w:type="dxa" w:w="2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Actual 7-day file</w:t>
            </w:r>
          </w:p>
        </w:tc>
        <w:tc>
          <w:tcPr>
            <w:tcW w:type="dxa" w:w="11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295.3</w:t>
            </w:r>
          </w:p>
        </w:tc>
        <w:tc>
          <w:tcPr>
            <w:tcW w:type="dxa" w:w="12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3.689</w:t>
            </w:r>
          </w:p>
        </w:tc>
        <w:tc>
          <w:tcPr>
            <w:tcW w:type="dxa" w:w="14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3.724</w:t>
            </w:r>
          </w:p>
        </w:tc>
        <w:tc>
          <w:tcPr>
            <w:tcW w:type="dxa" w:w="13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0.93%</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4.70x</w:t>
            </w:r>
          </w:p>
        </w:tc>
        <w:tc>
          <w:tcPr>
            <w:tcW w:type="dxa" w:w="8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717</w:t>
            </w:r>
          </w:p>
        </w:tc>
      </w:tr>
      <w:tr>
        <w:tc>
          <w:tcPr>
            <w:tcW w:type="dxa" w:w="2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512 MiB laptop</w:t>
            </w:r>
          </w:p>
        </w:tc>
        <w:tc>
          <w:tcPr>
            <w:tcW w:type="dxa" w:w="11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512.0</w:t>
            </w:r>
          </w:p>
        </w:tc>
        <w:tc>
          <w:tcPr>
            <w:tcW w:type="dxa" w:w="12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6.608</w:t>
            </w:r>
          </w:p>
        </w:tc>
        <w:tc>
          <w:tcPr>
            <w:tcW w:type="dxa" w:w="14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6.757</w:t>
            </w:r>
          </w:p>
        </w:tc>
        <w:tc>
          <w:tcPr>
            <w:tcW w:type="dxa" w:w="13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2.19%</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4.48x</w:t>
            </w:r>
          </w:p>
        </w:tc>
        <w:tc>
          <w:tcPr>
            <w:tcW w:type="dxa" w:w="8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1,243</w:t>
            </w:r>
          </w:p>
        </w:tc>
      </w:tr>
      <w:tr>
        <w:tc>
          <w:tcPr>
            <w:tcW w:type="dxa" w:w="2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2 GiB vram</w:t>
            </w:r>
          </w:p>
        </w:tc>
        <w:tc>
          <w:tcPr>
            <w:tcW w:type="dxa" w:w="11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2048.0</w:t>
            </w:r>
          </w:p>
        </w:tc>
        <w:tc>
          <w:tcPr>
            <w:tcW w:type="dxa" w:w="12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26.501</w:t>
            </w:r>
          </w:p>
        </w:tc>
        <w:tc>
          <w:tcPr>
            <w:tcW w:type="dxa" w:w="14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27.180</w:t>
            </w:r>
          </w:p>
        </w:tc>
        <w:tc>
          <w:tcPr>
            <w:tcW w:type="dxa" w:w="13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2.50%</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4.51x</w:t>
            </w:r>
          </w:p>
        </w:tc>
        <w:tc>
          <w:tcPr>
            <w:tcW w:type="dxa" w:w="8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4,970</w:t>
            </w:r>
          </w:p>
        </w:tc>
      </w:tr>
    </w:tbl>
    <w:p>
      <w:pPr>
        <w:spacing w:after="60"/>
      </w:pPr>
    </w:p>
    <w:p>
      <w:pPr>
        <w:spacing w:before="100" w:after="200" w:line="264" w:lineRule="auto"/>
        <w:ind w:left="115" w:right="115"/>
        <w:shd w:fill="E8EEF5"/>
        <w:pBdr>
          <w:top w:val="single" w:sz="5" w:space="6" w:color="CDD5DF"/>
          <w:left w:val="single" w:sz="5" w:space="6" w:color="CDD5DF"/>
          <w:bottom w:val="single" w:sz="5" w:space="6" w:color="CDD5DF"/>
          <w:right w:val="single" w:sz="5" w:space="6" w:color="CDD5DF"/>
        </w:pBdr>
      </w:pPr>
      <w:r>
        <w:rPr>
          <w:rFonts w:ascii="Calibri" w:hAnsi="Calibri" w:eastAsia="Calibri"/>
          <w:b/>
          <w:color w:val="1F3A5F"/>
          <w:sz w:val="22"/>
        </w:rPr>
        <w:t xml:space="preserve">SCALING RESULT  </w:t>
      </w:r>
      <w:r>
        <w:rPr>
          <w:rFonts w:ascii="Calibri" w:hAnsi="Calibri" w:eastAsia="Calibri"/>
          <w:color w:val="1A1A1A"/>
          <w:sz w:val="22"/>
        </w:rPr>
        <w:t>Direct reconstruction stayed near 5.06-5.25 billion candidate intervals/s. Its p50 advantage over materialize-plus-query grew from 0.93% to 2.50%, but remained small. The experiment demonstrates a crossover, not a landslide.</w:t>
      </w:r>
    </w:p>
    <w:p>
      <w:pPr>
        <w:pStyle w:val="Heading2"/>
        <w:keepNext/>
      </w:pPr>
      <w:r>
        <w:t>ELI5: one question versus many</w:t>
      </w:r>
    </w:p>
    <w:p>
      <w:pPr>
        <w:spacing w:after="120"/>
      </w:pPr>
      <w:r>
        <w:rPr>
          <w:rFonts w:ascii="Calibri" w:hAnsi="Calibri" w:eastAsia="Calibri"/>
          <w:i w:val="0"/>
          <w:color w:val="1A1A1A"/>
        </w:rPr>
        <w:t>Direct seed is like reading a compact recipe and cooking one answer. Materialize-plus-query is like unpacking an entire freezer before checking one item. For a one-off question, the recipe narrowly wins and needs almost no timeline storage.</w:t>
      </w:r>
    </w:p>
    <w:p>
      <w:pPr>
        <w:spacing w:after="120"/>
      </w:pPr>
      <w:r>
        <w:rPr>
          <w:rFonts w:ascii="Calibri" w:hAnsi="Calibri" w:eastAsia="Calibri"/>
          <w:i w:val="0"/>
          <w:color w:val="1A1A1A"/>
        </w:rPr>
        <w:t>A resident dense table is like food already laid out. Repeated questions are then much cheaper: the dense query is roughly 4.5x faster. The practical crossover therefore depends on reuse, memory pressure, transfer cost, query count, and required accuracy - not on compression ratio alone.</w:t>
      </w:r>
    </w:p>
    <w:p>
      <w:pPr>
        <w:pStyle w:val="Heading2"/>
        <w:keepNext/>
      </w:pPr>
      <w:r>
        <w:t>Logical bandwidth, not measured DRAM</w:t>
      </w:r>
    </w:p>
    <w:p>
      <w:pPr>
        <w:spacing w:after="120"/>
      </w:pPr>
      <w:r>
        <w:rPr>
          <w:rFonts w:ascii="Calibri" w:hAnsi="Calibri" w:eastAsia="Calibri"/>
          <w:i/>
          <w:color w:val="5E6670"/>
        </w:rPr>
        <w:t>The benchmark's arithmetic reports about 100.6-101.1 GB/s logical materialization traffic and 728-788 GB/s logical dense-query traffic. Those figures are workload byte counts divided by time. They are not Nsight DRAM or L2 hardware counters.</w:t>
      </w:r>
    </w:p>
    <w:p>
      <w:pPr>
        <w:sectPr>
          <w:footerReference w:type="default" r:id="rId14"/>
          <w:pgSz w:w="12240" w:h="15840"/>
          <w:pgMar w:top="792" w:right="1440" w:bottom="1440" w:left="1440" w:header="708" w:footer="708" w:gutter="0"/>
          <w:cols w:space="720"/>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6. Correctness audit: required pass, stronger check fails</w:t>
      </w:r>
    </w:p>
    <w:p>
      <w:pPr>
        <w:spacing w:after="80" w:line="280" w:lineRule="auto"/>
        <w:ind w:left="720" w:hanging="360"/>
        <w:numPr>
          <w:ilvl w:val="0"/>
          <w:numId w:val="10"/>
        </w:numPr>
      </w:pPr>
      <w:r>
        <w:rPr>
          <w:rFonts w:ascii="Calibri" w:hAnsi="Calibri" w:eastAsia="Calibri"/>
          <w:color w:val="1A1A1A"/>
        </w:rPr>
        <w:t>All 82 package-manifest SHA-256 entries matched.</w:t>
      </w:r>
    </w:p>
    <w:p>
      <w:pPr>
        <w:spacing w:after="80" w:line="280" w:lineRule="auto"/>
        <w:ind w:left="720" w:hanging="360"/>
        <w:numPr>
          <w:ilvl w:val="0"/>
          <w:numId w:val="10"/>
        </w:numPr>
      </w:pPr>
      <w:r>
        <w:rPr>
          <w:rFonts w:ascii="Calibri" w:hAnsi="Calibri" w:eastAsia="Calibri"/>
          <w:color w:val="1A1A1A"/>
        </w:rPr>
        <w:t>KLOC1 payload and seven-node hash chain validated.</w:t>
      </w:r>
    </w:p>
    <w:p>
      <w:pPr>
        <w:spacing w:after="80" w:line="280" w:lineRule="auto"/>
        <w:ind w:left="720" w:hanging="360"/>
        <w:numPr>
          <w:ilvl w:val="0"/>
          <w:numId w:val="10"/>
        </w:numPr>
      </w:pPr>
      <w:r>
        <w:rPr>
          <w:rFonts w:ascii="Calibri" w:hAnsi="Calibri" w:eastAsia="Calibri"/>
          <w:color w:val="1A1A1A"/>
        </w:rPr>
        <w:t>Both CPU test suites passed (2 of 2).</w:t>
      </w:r>
    </w:p>
    <w:p>
      <w:pPr>
        <w:spacing w:after="80" w:line="280" w:lineRule="auto"/>
        <w:ind w:left="720" w:hanging="360"/>
        <w:numPr>
          <w:ilvl w:val="0"/>
          <w:numId w:val="10"/>
        </w:numPr>
      </w:pPr>
      <w:r>
        <w:rPr>
          <w:rFonts w:ascii="Calibri" w:hAnsi="Calibri" w:eastAsia="Calibri"/>
          <w:color w:val="1A1A1A"/>
        </w:rPr>
        <w:t>Required 4,096-epoch CPU/GPU oracle prefix matched exactly in all three primary runs.</w:t>
      </w:r>
    </w:p>
    <w:p>
      <w:pPr>
        <w:spacing w:after="80" w:line="280" w:lineRule="auto"/>
        <w:ind w:left="720" w:hanging="360"/>
        <w:numPr>
          <w:ilvl w:val="0"/>
          <w:numId w:val="10"/>
        </w:numPr>
      </w:pPr>
      <w:r>
        <w:rPr>
          <w:rFonts w:ascii="Calibri" w:hAnsi="Calibri" w:eastAsia="Calibri"/>
          <w:color w:val="1A1A1A"/>
        </w:rPr>
        <w:t>Direct and dense GPU counters matched for file, laptop, and vram presets.</w:t>
      </w:r>
    </w:p>
    <w:p>
      <w:pPr>
        <w:spacing w:after="80" w:line="280" w:lineRule="auto"/>
        <w:ind w:left="720" w:hanging="360"/>
        <w:numPr>
          <w:ilvl w:val="0"/>
          <w:numId w:val="10"/>
        </w:numPr>
      </w:pPr>
      <w:r>
        <w:rPr>
          <w:rFonts w:ascii="Calibri" w:hAnsi="Calibri" w:eastAsia="Calibri"/>
          <w:color w:val="1A1A1A"/>
        </w:rPr>
        <w:t>Sorted compact event payloads matched: 717, 1,243, and 4,970 events.</w:t>
      </w:r>
    </w:p>
    <w:p>
      <w:pPr>
        <w:spacing w:after="80" w:line="280" w:lineRule="auto"/>
        <w:ind w:left="720" w:hanging="360"/>
        <w:numPr>
          <w:ilvl w:val="0"/>
          <w:numId w:val="10"/>
        </w:numPr>
      </w:pPr>
      <w:r>
        <w:rPr>
          <w:rFonts w:ascii="Calibri" w:hAnsi="Calibri" w:eastAsia="Calibri"/>
          <w:color w:val="1A1A1A"/>
        </w:rPr>
        <w:t>No compact event output was truncated.</w:t>
      </w:r>
    </w:p>
    <w:p>
      <w:pPr>
        <w:spacing w:after="80" w:line="280" w:lineRule="auto"/>
        <w:ind w:left="720" w:hanging="360"/>
        <w:numPr>
          <w:ilvl w:val="0"/>
          <w:numId w:val="10"/>
        </w:numPr>
      </w:pPr>
      <w:r>
        <w:rPr>
          <w:rFonts w:ascii="Calibri" w:hAnsi="Calibri" w:eastAsia="Calibri"/>
          <w:color w:val="1A1A1A"/>
        </w:rPr>
        <w:t>Compute Sanitizer memcheck reported zero errors on all orbit modes.</w:t>
      </w:r>
    </w:p>
    <w:p>
      <w:pPr>
        <w:spacing w:before="100" w:after="200" w:line="264" w:lineRule="auto"/>
        <w:ind w:left="115" w:right="115"/>
        <w:shd w:fill="FDECEC"/>
        <w:pBdr>
          <w:top w:val="single" w:sz="5" w:space="6" w:color="CDD5DF"/>
          <w:left w:val="single" w:sz="5" w:space="6" w:color="CDD5DF"/>
          <w:bottom w:val="single" w:sz="5" w:space="6" w:color="CDD5DF"/>
          <w:right w:val="single" w:sz="5" w:space="6" w:color="CDD5DF"/>
        </w:pBdr>
      </w:pPr>
      <w:r>
        <w:rPr>
          <w:rFonts w:ascii="Calibri" w:hAnsi="Calibri" w:eastAsia="Calibri"/>
          <w:b/>
          <w:color w:val="9B1C1C"/>
          <w:sz w:val="22"/>
        </w:rPr>
        <w:t xml:space="preserve">CRITICAL FINDING  </w:t>
      </w:r>
      <w:r>
        <w:rPr>
          <w:rFonts w:ascii="Calibri" w:hAnsi="Calibri" w:eastAsia="Calibri"/>
          <w:color w:val="1A1A1A"/>
          <w:sz w:val="22"/>
        </w:rPr>
        <w:t>Extending --verify-epochs from the required 4,096 prefix to all 604,800 intervals failed. CPU support/compatibility counters were 19,214,155; GPU counters were 19,214,154. Verified event counts remained 717 on both sides. Binary search found the last passing prefix at 435,260 epochs and the first failing prefix at 435,261, around 2026-08-21 06:27:32.693 UTC.</w:t>
      </w:r>
    </w:p>
    <w:p>
      <w:pPr>
        <w:pStyle w:val="Heading2"/>
        <w:keepNext/>
      </w:pPr>
      <w:r>
        <w:t>Cross-compiler CPU schedule</w:t>
      </w:r>
    </w:p>
    <w:p>
      <w:pPr>
        <w:spacing w:after="120"/>
      </w:pPr>
      <w:r>
        <w:rPr>
          <w:rFonts w:ascii="Calibri" w:hAnsi="Calibri" w:eastAsia="Calibri"/>
          <w:i w:val="0"/>
          <w:color w:val="1A1A1A"/>
        </w:rPr>
        <w:t>The regenerated MSVC CPU pass CSV retained the same 718 lines, event identities, order, and count as the supplied GCC-generated file, but it was not byte-identical. Three fields changed: one interpolated event time by 0.007813 seconds and two minimum guard values by 0.000001.</w:t>
      </w:r>
    </w:p>
    <w:p>
      <w:pPr>
        <w:spacing w:after="120"/>
      </w:pPr>
      <w:r>
        <w:rPr>
          <w:rFonts w:ascii="Calibri" w:hAnsi="Calibri" w:eastAsia="Calibri"/>
          <w:i/>
          <w:color w:val="5E6670"/>
        </w:rPr>
        <w:t>This looks like a floating-point boundary/format determinism issue rather than an event-set failure, but the exact root candidate has not been isolated. The package should not claim complete cross-compiler byte identity or full-horizon exact CPU/GPU counters until that boundary is fixed or guarded by a declared tolerance.</w:t>
      </w:r>
    </w:p>
    <w:p>
      <w:pPr>
        <w:sectPr>
          <w:footerReference w:type="default" r:id="rId15"/>
          <w:pgSz w:w="12240" w:h="15840"/>
          <w:pgMar w:top="792" w:right="1440" w:bottom="1440" w:left="1440" w:header="708" w:footer="708" w:gutter="0"/>
          <w:cols w:space="720"/>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7. Profiling, power, and thermals</w:t>
      </w:r>
    </w:p>
    <w:p>
      <w:pPr>
        <w:spacing w:before="100" w:after="200" w:line="264" w:lineRule="auto"/>
        <w:ind w:left="115" w:right="115"/>
        <w:shd w:fill="FFF8E8"/>
        <w:pBdr>
          <w:top w:val="single" w:sz="5" w:space="6" w:color="CDD5DF"/>
          <w:left w:val="single" w:sz="5" w:space="6" w:color="CDD5DF"/>
          <w:bottom w:val="single" w:sz="5" w:space="6" w:color="CDD5DF"/>
          <w:right w:val="single" w:sz="5" w:space="6" w:color="CDD5DF"/>
        </w:pBdr>
      </w:pPr>
      <w:r>
        <w:rPr>
          <w:rFonts w:ascii="Calibri" w:hAnsi="Calibri" w:eastAsia="Calibri"/>
          <w:b/>
          <w:color w:val="7A5A00"/>
          <w:sz w:val="22"/>
        </w:rPr>
        <w:t xml:space="preserve">NSIGHT RESULT  </w:t>
      </w:r>
      <w:r>
        <w:rPr>
          <w:rFonts w:ascii="Calibri" w:hAnsi="Calibri" w:eastAsia="Calibri"/>
          <w:color w:val="1A1A1A"/>
          <w:sz w:val="22"/>
        </w:rPr>
        <w:t>Nsight Compute connected to the process on three separate attempts, but Windows denied access to NVIDIA hardware performance counters each time with ERR_NVGPUCTRPERM. No valid .ncu-rep was produced. Achieved occupancy, constant-cache behavior, SFU utilization, actual DRAM/L2 traffic, warp stalls, and atomic serialization remain unmeasured.</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1900"/>
        <w:gridCol w:w="1150"/>
        <w:gridCol w:w="1200"/>
        <w:gridCol w:w="1200"/>
        <w:gridCol w:w="1050"/>
        <w:gridCol w:w="1350"/>
        <w:gridCol w:w="1510"/>
      </w:tblGrid>
      <w:tr>
        <w:trPr>
          <w:tblHeader w:val="true"/>
        </w:trPr>
        <w:tc>
          <w:tcPr>
            <w:tcW w:type="dxa" w:w="19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Run</w:t>
            </w:r>
          </w:p>
        </w:tc>
        <w:tc>
          <w:tcPr>
            <w:tcW w:type="dxa" w:w="11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Active GPU</w:t>
            </w:r>
          </w:p>
        </w:tc>
        <w:tc>
          <w:tcPr>
            <w:tcW w:type="dxa" w:w="12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Avg W</w:t>
            </w:r>
          </w:p>
        </w:tc>
        <w:tc>
          <w:tcPr>
            <w:tcW w:type="dxa" w:w="12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Max W</w:t>
            </w:r>
          </w:p>
        </w:tc>
        <w:tc>
          <w:tcPr>
            <w:tcW w:type="dxa" w:w="10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Max C</w:t>
            </w:r>
          </w:p>
        </w:tc>
        <w:tc>
          <w:tcPr>
            <w:tcW w:type="dxa" w:w="13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Max MiB</w:t>
            </w:r>
          </w:p>
        </w:tc>
        <w:tc>
          <w:tcPr>
            <w:tcW w:type="dxa" w:w="151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Avg SM MHz</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7-day file</w:t>
            </w:r>
          </w:p>
        </w:tc>
        <w:tc>
          <w:tcPr>
            <w:tcW w:type="dxa" w:w="11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100%</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132.01</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143.51</w:t>
            </w:r>
          </w:p>
        </w:tc>
        <w:tc>
          <w:tcPr>
            <w:tcW w:type="dxa" w:w="10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75</w:t>
            </w:r>
          </w:p>
        </w:tc>
        <w:tc>
          <w:tcPr>
            <w:tcW w:type="dxa" w:w="13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870</w:t>
            </w:r>
          </w:p>
        </w:tc>
        <w:tc>
          <w:tcPr>
            <w:tcW w:type="dxa" w:w="15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2590</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512 MiB</w:t>
            </w:r>
          </w:p>
        </w:tc>
        <w:tc>
          <w:tcPr>
            <w:tcW w:type="dxa" w:w="11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100%</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133.69</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140.12</w:t>
            </w:r>
          </w:p>
        </w:tc>
        <w:tc>
          <w:tcPr>
            <w:tcW w:type="dxa" w:w="10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79</w:t>
            </w:r>
          </w:p>
        </w:tc>
        <w:tc>
          <w:tcPr>
            <w:tcW w:type="dxa" w:w="13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1090</w:t>
            </w:r>
          </w:p>
        </w:tc>
        <w:tc>
          <w:tcPr>
            <w:tcW w:type="dxa" w:w="15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2559</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2 GiB</w:t>
            </w:r>
          </w:p>
        </w:tc>
        <w:tc>
          <w:tcPr>
            <w:tcW w:type="dxa" w:w="11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100%</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134.81</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140.32</w:t>
            </w:r>
          </w:p>
        </w:tc>
        <w:tc>
          <w:tcPr>
            <w:tcW w:type="dxa" w:w="10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84</w:t>
            </w:r>
          </w:p>
        </w:tc>
        <w:tc>
          <w:tcPr>
            <w:tcW w:type="dxa" w:w="13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2626</w:t>
            </w:r>
          </w:p>
        </w:tc>
        <w:tc>
          <w:tcPr>
            <w:tcW w:type="dxa" w:w="15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2590</w:t>
            </w:r>
          </w:p>
        </w:tc>
      </w:tr>
    </w:tbl>
    <w:p>
      <w:pPr>
        <w:spacing w:after="60"/>
      </w:pPr>
    </w:p>
    <w:p>
      <w:pPr>
        <w:spacing w:after="120"/>
      </w:pPr>
      <w:r>
        <w:rPr>
          <w:rFonts w:ascii="Calibri" w:hAnsi="Calibri" w:eastAsia="Calibri"/>
          <w:i/>
          <w:color w:val="5E6670"/>
        </w:rPr>
        <w:t>Telemetry was sampled with nvidia-smi every 200 ms and summarizes samples at or above 50% GPU utilization. It is useful whole-device context, not per-kernel energy metering. The 2 GiB run reached 84 C; average active SM clock remained about 2.59 GHz, so no clock collapse was observed, but thermal headroom on the laptop is limited.</w:t>
      </w:r>
    </w:p>
    <w:p>
      <w:pPr>
        <w:pStyle w:val="Heading2"/>
        <w:keepNext/>
      </w:pPr>
      <w:r>
        <w:t>What static evidence still says</w:t>
      </w:r>
    </w:p>
    <w:p>
      <w:pPr>
        <w:spacing w:after="80" w:line="280" w:lineRule="auto"/>
        <w:ind w:left="720" w:hanging="360"/>
        <w:numPr>
          <w:ilvl w:val="0"/>
          <w:numId w:val="10"/>
        </w:numPr>
      </w:pPr>
      <w:r>
        <w:rPr>
          <w:rFonts w:ascii="Calibri" w:hAnsi="Calibri" w:eastAsia="Calibri"/>
          <w:color w:val="1A1A1A"/>
        </w:rPr>
        <w:t>The direct count kernel uses 46 registers/thread; compact direct uses 52.</w:t>
      </w:r>
    </w:p>
    <w:p>
      <w:pPr>
        <w:spacing w:after="80" w:line="280" w:lineRule="auto"/>
        <w:ind w:left="720" w:hanging="360"/>
        <w:numPr>
          <w:ilvl w:val="0"/>
          <w:numId w:val="10"/>
        </w:numPr>
      </w:pPr>
      <w:r>
        <w:rPr>
          <w:rFonts w:ascii="Calibri" w:hAnsi="Calibri" w:eastAsia="Calibri"/>
          <w:color w:val="1A1A1A"/>
        </w:rPr>
        <w:t>The resident dense count kernel uses 33 registers/thread; dense compact uses 40.</w:t>
      </w:r>
    </w:p>
    <w:p>
      <w:pPr>
        <w:spacing w:after="80" w:line="280" w:lineRule="auto"/>
        <w:ind w:left="720" w:hanging="360"/>
        <w:numPr>
          <w:ilvl w:val="0"/>
          <w:numId w:val="10"/>
        </w:numPr>
      </w:pPr>
      <w:r>
        <w:rPr>
          <w:rFonts w:ascii="Calibri" w:hAnsi="Calibri" w:eastAsia="Calibri"/>
          <w:color w:val="1A1A1A"/>
        </w:rPr>
        <w:t>All five orbit kernels report zero spill stores and loads.</w:t>
      </w:r>
    </w:p>
    <w:p>
      <w:pPr>
        <w:spacing w:after="80" w:line="280" w:lineRule="auto"/>
        <w:ind w:left="720" w:hanging="360"/>
        <w:numPr>
          <w:ilvl w:val="0"/>
          <w:numId w:val="10"/>
        </w:numPr>
      </w:pPr>
      <w:r>
        <w:rPr>
          <w:rFonts w:ascii="Calibri" w:hAnsi="Calibri" w:eastAsia="Calibri"/>
          <w:color w:val="1A1A1A"/>
        </w:rPr>
        <w:t>The seed and node arrays are compiled into CUDA constant memory; cache hit behavior was not measurable without counters.</w:t>
      </w:r>
    </w:p>
    <w:p>
      <w:pPr>
        <w:spacing w:after="80" w:line="280" w:lineRule="auto"/>
        <w:ind w:left="720" w:hanging="360"/>
        <w:numPr>
          <w:ilvl w:val="0"/>
          <w:numId w:val="10"/>
        </w:numPr>
      </w:pPr>
      <w:r>
        <w:rPr>
          <w:rFonts w:ascii="Calibri" w:hAnsi="Calibri" w:eastAsia="Calibri"/>
          <w:color w:val="1A1A1A"/>
        </w:rPr>
        <w:t>The compact path adds roughly 13-16% over direct counting and 64-67% over resident dense counting in these sparse-event tests.</w:t>
      </w:r>
    </w:p>
    <w:p>
      <w:pPr>
        <w:sectPr>
          <w:footerReference w:type="default" r:id="rId16"/>
          <w:pgSz w:w="12240" w:h="15840"/>
          <w:pgMar w:top="792" w:right="1440" w:bottom="1440" w:left="1440" w:header="708" w:footer="708" w:gutter="0"/>
          <w:cols w:space="720"/>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8. Compression and feasibility boundary</w:t>
      </w:r>
    </w:p>
    <w:p>
      <w:pPr>
        <w:pStyle w:val="Heading2"/>
        <w:keepNext/>
      </w:pPr>
      <w:r>
        <w:t>Why the giant ratio is mathematically real</w:t>
      </w:r>
    </w:p>
    <w:p>
      <w:pPr>
        <w:spacing w:after="120"/>
      </w:pPr>
      <w:r>
        <w:rPr>
          <w:rFonts w:ascii="Calibri" w:hAnsi="Calibri" w:eastAsia="Calibri"/>
          <w:i w:val="0"/>
          <w:color w:val="1A1A1A"/>
        </w:rPr>
        <w:t>The 3,809-byte KLOC1 file contains a closed model: 32 fixed-size orbital seeds and seven timeline nodes. Repeating the model at one-second intervals produces 604,801 state samples per satellite. Comparing that tiny model with a chosen dense float4 expansion yields 81,296x for seven days.</w:t>
      </w:r>
    </w:p>
    <w:p>
      <w:pPr>
        <w:pStyle w:val="Heading2"/>
        <w:keepNext/>
      </w:pPr>
      <w:r>
        <w:t>Why it is not conventional compression</w:t>
      </w:r>
    </w:p>
    <w:p>
      <w:pPr>
        <w:spacing w:after="120"/>
      </w:pPr>
      <w:r>
        <w:rPr>
          <w:rFonts w:ascii="Calibri" w:hAnsi="Calibri" w:eastAsia="Calibri"/>
          <w:i w:val="0"/>
          <w:color w:val="1A1A1A"/>
        </w:rPr>
        <w:t>No 295 MiB measured trajectory was fed into an encoder and recovered losslessly. The source OMM CSV itself is only 4,852 bytes. The system is closer to storing a physics recipe than squeezing an existing movie. Increasing the requested horizon increases the apparent ratio even though the model file barely changes.</w:t>
      </w:r>
    </w:p>
    <w:p>
      <w:pPr>
        <w:spacing w:before="100" w:after="200" w:line="264" w:lineRule="auto"/>
        <w:ind w:left="115" w:right="115"/>
        <w:shd w:fill="E8EEF5"/>
        <w:pBdr>
          <w:top w:val="single" w:sz="5" w:space="6" w:color="CDD5DF"/>
          <w:left w:val="single" w:sz="5" w:space="6" w:color="CDD5DF"/>
          <w:bottom w:val="single" w:sz="5" w:space="6" w:color="CDD5DF"/>
          <w:right w:val="single" w:sz="5" w:space="6" w:color="CDD5DF"/>
        </w:pBdr>
      </w:pPr>
      <w:r>
        <w:rPr>
          <w:rFonts w:ascii="Calibri" w:hAnsi="Calibri" w:eastAsia="Calibri"/>
          <w:b/>
          <w:color w:val="1F3A5F"/>
          <w:sz w:val="22"/>
        </w:rPr>
        <w:t xml:space="preserve">FAIR CLAIM  </w:t>
      </w:r>
      <w:r>
        <w:rPr>
          <w:rFonts w:ascii="Calibri" w:hAnsi="Calibri" w:eastAsia="Calibri"/>
          <w:color w:val="1A1A1A"/>
          <w:sz w:val="22"/>
        </w:rPr>
        <w:t>OrbitSeed can avoid materializing hundreds of MiB or GiB of positions for one-off coarse event queries. It cannot yet claim operational ephemeris compression, because the predictor's coordinate and event-order error versus SGP4 has not been measured.</w:t>
      </w:r>
    </w:p>
    <w:p>
      <w:pPr>
        <w:pStyle w:val="Heading2"/>
        <w:keepNext/>
      </w:pPr>
      <w:r>
        <w:t>Accuracy boundary</w:t>
      </w:r>
    </w:p>
    <w:p>
      <w:pPr>
        <w:spacing w:after="120"/>
      </w:pPr>
      <w:r>
        <w:rPr>
          <w:rFonts w:ascii="Calibri" w:hAnsi="Calibri" w:eastAsia="Calibri"/>
          <w:i w:val="0"/>
          <w:color w:val="1A1A1A"/>
        </w:rPr>
        <w:t>CelesTrak general-perturbations mean elements are associated with SGP4. This package instead uses a deterministic fixed-iteration Kepler solve plus precomputed secular J2 rates. Its generated pass CSV is therefore a coarse workload result, not an operational satellite schedule.</w:t>
      </w:r>
    </w:p>
    <w:p>
      <w:pPr>
        <w:spacing w:after="120"/>
      </w:pPr>
      <w:r>
        <w:rPr>
          <w:rFonts w:ascii="Calibri" w:hAnsi="Calibri" w:eastAsia="Calibri"/>
          <w:i w:val="0"/>
          <w:color w:val="1A1A1A"/>
        </w:rPr>
        <w:t>Before deployment, compare coordinates, elevation guards, acquisition/loss identity, and event ordering against an SGP4 reference. A packed predictor is acceptable only when its maximum coordinate and guard error stays below a declared application margin.</w:t>
      </w:r>
    </w:p>
    <w:p>
      <w:pPr>
        <w:pStyle w:val="Heading2"/>
        <w:keepNext/>
      </w:pPr>
      <w:r>
        <w:t>Feasibility decision</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2500"/>
        <w:gridCol w:w="1800"/>
        <w:gridCol w:w="5060"/>
      </w:tblGrid>
      <w:tr>
        <w:trPr>
          <w:tblHeader w:val="true"/>
        </w:trPr>
        <w:tc>
          <w:tcPr>
            <w:tcW w:type="dxa" w:w="25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Use</w:t>
            </w:r>
          </w:p>
        </w:tc>
        <w:tc>
          <w:tcPr>
            <w:tcW w:type="dxa" w:w="18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Decision</w:t>
            </w:r>
          </w:p>
        </w:tc>
        <w:tc>
          <w:tcPr>
            <w:tcW w:type="dxa" w:w="506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Reason</w:t>
            </w:r>
          </w:p>
        </w:tc>
      </w:tr>
      <w:tr>
        <w:tc>
          <w:tcPr>
            <w:tcW w:type="dxa" w:w="25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GPU crossover research</w:t>
            </w:r>
          </w:p>
        </w:tc>
        <w:tc>
          <w:tcPr>
            <w:tcW w:type="dxa" w:w="18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GO</w:t>
            </w:r>
          </w:p>
        </w:tc>
        <w:tc>
          <w:tcPr>
            <w:tcW w:type="dxa" w:w="50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Correct event equivalence; direct path narrowly beats end-to-end dense</w:t>
            </w:r>
          </w:p>
        </w:tc>
      </w:tr>
      <w:tr>
        <w:tc>
          <w:tcPr>
            <w:tcW w:type="dxa" w:w="25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Memory-limited coarse preview</w:t>
            </w:r>
          </w:p>
        </w:tc>
        <w:tc>
          <w:tcPr>
            <w:tcW w:type="dxa" w:w="18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CONDITIONAL</w:t>
            </w:r>
          </w:p>
        </w:tc>
        <w:tc>
          <w:tcPr>
            <w:tcW w:type="dxa" w:w="50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Useful if one-off queries and approximate orbit model are acceptable</w:t>
            </w:r>
          </w:p>
        </w:tc>
      </w:tr>
      <w:tr>
        <w:tc>
          <w:tcPr>
            <w:tcW w:type="dxa" w:w="25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Repeated queries on one timeline</w:t>
            </w:r>
          </w:p>
        </w:tc>
        <w:tc>
          <w:tcPr>
            <w:tcW w:type="dxa" w:w="18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DENSE MAY WIN</w:t>
            </w:r>
          </w:p>
        </w:tc>
        <w:tc>
          <w:tcPr>
            <w:tcW w:type="dxa" w:w="50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Resident dense query is about 4.5x faster</w:t>
            </w:r>
          </w:p>
        </w:tc>
      </w:tr>
      <w:tr>
        <w:tc>
          <w:tcPr>
            <w:tcW w:type="dxa" w:w="25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Operational orbital decisions</w:t>
            </w:r>
          </w:p>
        </w:tc>
        <w:tc>
          <w:tcPr>
            <w:tcW w:type="dxa" w:w="18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NO-GO</w:t>
            </w:r>
          </w:p>
        </w:tc>
        <w:tc>
          <w:tcPr>
            <w:tcW w:type="dxa" w:w="50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No SGP4 error budget; full-horizon exactness issue remains</w:t>
            </w:r>
          </w:p>
        </w:tc>
      </w:tr>
    </w:tbl>
    <w:p>
      <w:pPr>
        <w:spacing w:after="60"/>
      </w:pPr>
    </w:p>
    <w:p>
      <w:pPr>
        <w:sectPr>
          <w:footerReference w:type="default" r:id="rId17"/>
          <w:pgSz w:w="12240" w:h="15840"/>
          <w:pgMar w:top="792" w:right="1440" w:bottom="1440" w:left="1440" w:header="708" w:footer="708" w:gutter="0"/>
          <w:cols w:space="720"/>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9. Practical uses and poor fits</w:t>
      </w:r>
    </w:p>
    <w:p>
      <w:pPr>
        <w:pStyle w:val="Heading2"/>
        <w:keepNext/>
      </w:pPr>
      <w:r>
        <w:t>Good experimental matches</w:t>
      </w:r>
    </w:p>
    <w:p>
      <w:pPr>
        <w:pStyle w:val="Heading3"/>
        <w:keepNext/>
      </w:pPr>
      <w:r>
        <w:t>Interactive ground-station what-if tools</w:t>
      </w:r>
    </w:p>
    <w:p>
      <w:pPr>
        <w:spacing w:after="120"/>
      </w:pPr>
      <w:r>
        <w:rPr>
          <w:rFonts w:ascii="Calibri" w:hAnsi="Calibri" w:eastAsia="Calibri"/>
          <w:i w:val="0"/>
          <w:color w:val="1A1A1A"/>
        </w:rPr>
        <w:t>Change station, elevation mask, or route and answer occasional visibility questions without allocating a complete timeline.</w:t>
      </w:r>
    </w:p>
    <w:p>
      <w:pPr>
        <w:pStyle w:val="Heading3"/>
        <w:keepNext/>
      </w:pPr>
      <w:r>
        <w:t>GPU event-pipeline research</w:t>
      </w:r>
    </w:p>
    <w:p>
      <w:pPr>
        <w:spacing w:after="120"/>
      </w:pPr>
      <w:r>
        <w:rPr>
          <w:rFonts w:ascii="Calibri" w:hAnsi="Calibri" w:eastAsia="Calibri"/>
          <w:i w:val="0"/>
          <w:color w:val="1A1A1A"/>
        </w:rPr>
        <w:t>Study direct reconstruction, guard evaluation, lineage, warp compaction, and sparse append behavior on a real structured dataset.</w:t>
      </w:r>
    </w:p>
    <w:p>
      <w:pPr>
        <w:pStyle w:val="Heading3"/>
        <w:keepNext/>
      </w:pPr>
      <w:r>
        <w:t>Memory-limited constellation dashboards</w:t>
      </w:r>
    </w:p>
    <w:p>
      <w:pPr>
        <w:spacing w:after="120"/>
      </w:pPr>
      <w:r>
        <w:rPr>
          <w:rFonts w:ascii="Calibri" w:hAnsi="Calibri" w:eastAsia="Calibri"/>
          <w:i w:val="0"/>
          <w:color w:val="1A1A1A"/>
        </w:rPr>
        <w:t>Keep compact seeds resident and reconstruct only requested slices, provided approximate propagation is acceptable.</w:t>
      </w:r>
    </w:p>
    <w:p>
      <w:pPr>
        <w:pStyle w:val="Heading3"/>
        <w:keepNext/>
      </w:pPr>
      <w:r>
        <w:t>Training, replay, and synthetic mission rehearsal</w:t>
      </w:r>
    </w:p>
    <w:p>
      <w:pPr>
        <w:spacing w:after="120"/>
      </w:pPr>
      <w:r>
        <w:rPr>
          <w:rFonts w:ascii="Calibri" w:hAnsi="Calibri" w:eastAsia="Calibri"/>
          <w:i w:val="0"/>
          <w:color w:val="1A1A1A"/>
        </w:rPr>
        <w:t>Use deterministic, repeatable coarse motion where fidelity is explicitly bounded and nobody mistakes it for navigation data.</w:t>
      </w:r>
    </w:p>
    <w:p>
      <w:pPr>
        <w:pStyle w:val="Heading3"/>
        <w:keepNext/>
      </w:pPr>
      <w:r>
        <w:t>Future GPU SGP4 substrate</w:t>
      </w:r>
    </w:p>
    <w:p>
      <w:pPr>
        <w:spacing w:after="120"/>
      </w:pPr>
      <w:r>
        <w:rPr>
          <w:rFonts w:ascii="Calibri" w:hAnsi="Calibri" w:eastAsia="Calibri"/>
          <w:i w:val="0"/>
          <w:color w:val="1A1A1A"/>
        </w:rPr>
        <w:t>Retain KLOC1 identity, query ABI, lineage, and support/guard stages while replacing the predictor with validated SGP4 coefficients or kernels.</w:t>
      </w:r>
    </w:p>
    <w:p>
      <w:pPr>
        <w:pStyle w:val="Heading2"/>
        <w:keepNext/>
      </w:pPr>
      <w:r>
        <w:t>Poor matches</w:t>
      </w:r>
    </w:p>
    <w:p>
      <w:pPr>
        <w:spacing w:after="80" w:line="280" w:lineRule="auto"/>
        <w:ind w:left="720" w:hanging="360"/>
        <w:numPr>
          <w:ilvl w:val="0"/>
          <w:numId w:val="10"/>
        </w:numPr>
      </w:pPr>
      <w:r>
        <w:rPr>
          <w:rFonts w:ascii="Calibri" w:hAnsi="Calibri" w:eastAsia="Calibri"/>
          <w:color w:val="1A1A1A"/>
        </w:rPr>
        <w:t>Navigation, collision avoidance, safety of flight, precise antenna steering, or authoritative operations.</w:t>
      </w:r>
    </w:p>
    <w:p>
      <w:pPr>
        <w:spacing w:after="80" w:line="280" w:lineRule="auto"/>
        <w:ind w:left="720" w:hanging="360"/>
        <w:numPr>
          <w:ilvl w:val="0"/>
          <w:numId w:val="10"/>
        </w:numPr>
      </w:pPr>
      <w:r>
        <w:rPr>
          <w:rFonts w:ascii="Calibri" w:hAnsi="Calibri" w:eastAsia="Calibri"/>
          <w:color w:val="1A1A1A"/>
        </w:rPr>
        <w:t>Workloads that repeatedly query the same interval and can keep a dense table resident.</w:t>
      </w:r>
    </w:p>
    <w:p>
      <w:pPr>
        <w:spacing w:after="80" w:line="280" w:lineRule="auto"/>
        <w:ind w:left="720" w:hanging="360"/>
        <w:numPr>
          <w:ilvl w:val="0"/>
          <w:numId w:val="10"/>
        </w:numPr>
      </w:pPr>
      <w:r>
        <w:rPr>
          <w:rFonts w:ascii="Calibri" w:hAnsi="Calibri" w:eastAsia="Calibri"/>
          <w:color w:val="1A1A1A"/>
        </w:rPr>
        <w:t>Scenarios where external updates are frequent enough that compact seeds no longer describe the state between refreshes.</w:t>
      </w:r>
    </w:p>
    <w:p>
      <w:pPr>
        <w:spacing w:after="80" w:line="280" w:lineRule="auto"/>
        <w:ind w:left="720" w:hanging="360"/>
        <w:numPr>
          <w:ilvl w:val="0"/>
          <w:numId w:val="10"/>
        </w:numPr>
      </w:pPr>
      <w:r>
        <w:rPr>
          <w:rFonts w:ascii="Calibri" w:hAnsi="Calibri" w:eastAsia="Calibri"/>
          <w:color w:val="1A1A1A"/>
        </w:rPr>
        <w:t>Claims of lossless trajectory compression when only a compact generative model was stored.</w:t>
      </w:r>
    </w:p>
    <w:p>
      <w:pPr>
        <w:spacing w:after="80" w:line="280" w:lineRule="auto"/>
        <w:ind w:left="720" w:hanging="360"/>
        <w:numPr>
          <w:ilvl w:val="0"/>
          <w:numId w:val="10"/>
        </w:numPr>
      </w:pPr>
      <w:r>
        <w:rPr>
          <w:rFonts w:ascii="Calibri" w:hAnsi="Calibri" w:eastAsia="Calibri"/>
          <w:color w:val="1A1A1A"/>
        </w:rPr>
        <w:t>Cross-platform deterministic archives until floating-point and build-tool behavior are canonicalized.</w:t>
      </w:r>
    </w:p>
    <w:p>
      <w:pPr>
        <w:sectPr>
          <w:footerReference w:type="default" r:id="rId18"/>
          <w:pgSz w:w="12240" w:h="15840"/>
          <w:pgMar w:top="792" w:right="1440" w:bottom="1440" w:left="1440" w:header="708" w:footer="708" w:gutter="0"/>
          <w:cols w:space="720"/>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10. Recommended next engineering steps</w:t>
      </w:r>
    </w:p>
    <w:p>
      <w:pPr>
        <w:spacing w:after="80" w:line="280" w:lineRule="auto"/>
        <w:ind w:left="720" w:hanging="360"/>
        <w:numPr>
          <w:ilvl w:val="0"/>
          <w:numId w:val="11"/>
        </w:numPr>
      </w:pPr>
      <w:r>
        <w:rPr>
          <w:rFonts w:ascii="Calibri" w:hAnsi="Calibri" w:eastAsia="Calibri"/>
          <w:color w:val="1A1A1A"/>
        </w:rPr>
        <w:t>Fix build_windows.ps1 so every non-zero native command terminates the script and add an explicit CUDA-toolkit selector.</w:t>
      </w:r>
    </w:p>
    <w:p>
      <w:pPr>
        <w:spacing w:after="80" w:line="280" w:lineRule="auto"/>
        <w:ind w:left="720" w:hanging="360"/>
        <w:numPr>
          <w:ilvl w:val="0"/>
          <w:numId w:val="11"/>
        </w:numPr>
      </w:pPr>
      <w:r>
        <w:rPr>
          <w:rFonts w:ascii="Calibri" w:hAnsi="Calibri" w:eastAsia="Calibri"/>
          <w:color w:val="1A1A1A"/>
        </w:rPr>
        <w:t>Make the full 604,800-epoch CPU/GPU oracle exact, or define and enforce a conservative support/guard tolerance tied to the event margin.</w:t>
      </w:r>
    </w:p>
    <w:p>
      <w:pPr>
        <w:spacing w:after="80" w:line="280" w:lineRule="auto"/>
        <w:ind w:left="720" w:hanging="360"/>
        <w:numPr>
          <w:ilvl w:val="0"/>
          <w:numId w:val="11"/>
        </w:numPr>
      </w:pPr>
      <w:r>
        <w:rPr>
          <w:rFonts w:ascii="Calibri" w:hAnsi="Calibri" w:eastAsia="Calibri"/>
          <w:color w:val="1A1A1A"/>
        </w:rPr>
        <w:t>Canonicalize cross-compiler floating-point evaluation and CSV formatting if byte-identical regeneration remains a requirement.</w:t>
      </w:r>
    </w:p>
    <w:p>
      <w:pPr>
        <w:spacing w:after="80" w:line="280" w:lineRule="auto"/>
        <w:ind w:left="720" w:hanging="360"/>
        <w:numPr>
          <w:ilvl w:val="0"/>
          <w:numId w:val="11"/>
        </w:numPr>
      </w:pPr>
      <w:r>
        <w:rPr>
          <w:rFonts w:ascii="Calibri" w:hAnsi="Calibri" w:eastAsia="Calibri"/>
          <w:color w:val="1A1A1A"/>
        </w:rPr>
        <w:t>Enable NVIDIA performance-counter access, rerun Nsight Compute, and capture achieved occupancy, constant-cache hit behavior, SFU pressure, DRAM/L2 traffic, stalls, and append serialization.</w:t>
      </w:r>
    </w:p>
    <w:p>
      <w:pPr>
        <w:spacing w:after="80" w:line="280" w:lineRule="auto"/>
        <w:ind w:left="720" w:hanging="360"/>
        <w:numPr>
          <w:ilvl w:val="0"/>
          <w:numId w:val="11"/>
        </w:numPr>
      </w:pPr>
      <w:r>
        <w:rPr>
          <w:rFonts w:ascii="Calibri" w:hAnsi="Calibri" w:eastAsia="Calibri"/>
          <w:color w:val="1A1A1A"/>
        </w:rPr>
        <w:t>Build an SGP4 CPU reference comparison for all source objects across the seven-day horizon, including event identity/order and maximum elevation-guard error.</w:t>
      </w:r>
    </w:p>
    <w:p>
      <w:pPr>
        <w:spacing w:after="80" w:line="280" w:lineRule="auto"/>
        <w:ind w:left="720" w:hanging="360"/>
        <w:numPr>
          <w:ilvl w:val="0"/>
          <w:numId w:val="11"/>
        </w:numPr>
      </w:pPr>
      <w:r>
        <w:rPr>
          <w:rFonts w:ascii="Calibri" w:hAnsi="Calibri" w:eastAsia="Calibri"/>
          <w:color w:val="1A1A1A"/>
        </w:rPr>
        <w:t>Profile a GPU SGP4 coefficient path or homogeneous near-Earth/deep-space queues, then repeat the direct-versus-dense crossover at equal accuracy.</w:t>
      </w:r>
    </w:p>
    <w:p>
      <w:pPr>
        <w:spacing w:after="80" w:line="280" w:lineRule="auto"/>
        <w:ind w:left="720" w:hanging="360"/>
        <w:numPr>
          <w:ilvl w:val="0"/>
          <w:numId w:val="11"/>
        </w:numPr>
      </w:pPr>
      <w:r>
        <w:rPr>
          <w:rFonts w:ascii="Calibri" w:hAnsi="Calibri" w:eastAsia="Calibri"/>
          <w:color w:val="1A1A1A"/>
        </w:rPr>
        <w:t>Measure multi-station and repeated-query workloads so the materialization/reuse crossover is expressed as a query-count rule, not one timing ratio.</w:t>
      </w:r>
    </w:p>
    <w:p>
      <w:pPr>
        <w:spacing w:after="80" w:line="280" w:lineRule="auto"/>
        <w:ind w:left="720" w:hanging="360"/>
        <w:numPr>
          <w:ilvl w:val="0"/>
          <w:numId w:val="11"/>
        </w:numPr>
      </w:pPr>
      <w:r>
        <w:rPr>
          <w:rFonts w:ascii="Calibri" w:hAnsi="Calibri" w:eastAsia="Calibri"/>
          <w:color w:val="1A1A1A"/>
        </w:rPr>
        <w:t>Add controlled energy sampling or vendor telemetry integration if joules per candidate matters; 200 ms nvidia-smi samples are too coarse for per-kernel attribution.</w:t>
      </w:r>
    </w:p>
    <w:p>
      <w:pPr>
        <w:spacing w:before="100" w:after="200" w:line="264" w:lineRule="auto"/>
        <w:ind w:left="115" w:right="115"/>
        <w:shd w:fill="FFF8E8"/>
        <w:pBdr>
          <w:top w:val="single" w:sz="5" w:space="6" w:color="CDD5DF"/>
          <w:left w:val="single" w:sz="5" w:space="6" w:color="CDD5DF"/>
          <w:bottom w:val="single" w:sz="5" w:space="6" w:color="CDD5DF"/>
          <w:right w:val="single" w:sz="5" w:space="6" w:color="CDD5DF"/>
        </w:pBdr>
      </w:pPr>
      <w:r>
        <w:rPr>
          <w:rFonts w:ascii="Calibri" w:hAnsi="Calibri" w:eastAsia="Calibri"/>
          <w:b/>
          <w:color w:val="7A5A00"/>
          <w:sz w:val="22"/>
        </w:rPr>
        <w:t xml:space="preserve">GO / NO-GO RULE  </w:t>
      </w:r>
      <w:r>
        <w:rPr>
          <w:rFonts w:ascii="Calibri" w:hAnsi="Calibri" w:eastAsia="Calibri"/>
          <w:color w:val="1A1A1A"/>
          <w:sz w:val="22"/>
        </w:rPr>
        <w:t>Proceed when direct reconstruction is faster than materialize-plus-query at equal validated accuracy, the dense table cannot be profitably reused, and coordinate/guard error remains below the application margin. Otherwise keep the dense representation or use a validated SGP4 path.</w:t>
      </w:r>
    </w:p>
    <w:p>
      <w:pPr>
        <w:sectPr>
          <w:footerReference w:type="default" r:id="rId19"/>
          <w:pgSz w:w="12240" w:h="15840"/>
          <w:pgMar w:top="792" w:right="1440" w:bottom="1440" w:left="1440" w:header="708" w:footer="708" w:gutter="0"/>
          <w:cols w:space="720"/>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Appendix A. Evidence and deliverables</w:t>
      </w:r>
    </w:p>
    <w:p>
      <w:pPr>
        <w:spacing w:after="120"/>
      </w:pPr>
      <w:r>
        <w:rPr>
          <w:rFonts w:ascii="Calibri" w:hAnsi="Calibri" w:eastAsia="Calibri"/>
          <w:i w:val="0"/>
          <w:color w:val="1A1A1A"/>
        </w:rPr>
        <w:t>Primary result files created in the package root:</w:t>
      </w:r>
    </w:p>
    <w:p>
      <w:pPr>
        <w:spacing w:after="80" w:line="280" w:lineRule="auto"/>
        <w:ind w:left="720" w:hanging="360"/>
        <w:numPr>
          <w:ilvl w:val="0"/>
          <w:numId w:val="10"/>
        </w:numPr>
      </w:pPr>
      <w:r>
        <w:rPr>
          <w:rFonts w:ascii="Calibri" w:hAnsi="Calibri" w:eastAsia="Calibri"/>
          <w:color w:val="1A1A1A"/>
        </w:rPr>
        <w:t>orbit_file_results.csv - actual included seven-day GPU run.</w:t>
      </w:r>
    </w:p>
    <w:p>
      <w:pPr>
        <w:spacing w:after="80" w:line="280" w:lineRule="auto"/>
        <w:ind w:left="720" w:hanging="360"/>
        <w:numPr>
          <w:ilvl w:val="0"/>
          <w:numId w:val="10"/>
        </w:numPr>
      </w:pPr>
      <w:r>
        <w:rPr>
          <w:rFonts w:ascii="Calibri" w:hAnsi="Calibri" w:eastAsia="Calibri"/>
          <w:color w:val="1A1A1A"/>
        </w:rPr>
        <w:t>orbit_laptop_results.csv - required sustained 512 MiB comparison.</w:t>
      </w:r>
    </w:p>
    <w:p>
      <w:pPr>
        <w:spacing w:after="80" w:line="280" w:lineRule="auto"/>
        <w:ind w:left="720" w:hanging="360"/>
        <w:numPr>
          <w:ilvl w:val="0"/>
          <w:numId w:val="10"/>
        </w:numPr>
      </w:pPr>
      <w:r>
        <w:rPr>
          <w:rFonts w:ascii="Calibri" w:hAnsi="Calibri" w:eastAsia="Calibri"/>
          <w:color w:val="1A1A1A"/>
        </w:rPr>
        <w:t>orbit_vram_results.csv - optional 2 GiB comparison.</w:t>
      </w:r>
    </w:p>
    <w:p>
      <w:pPr>
        <w:spacing w:after="80" w:line="280" w:lineRule="auto"/>
        <w:ind w:left="720" w:hanging="360"/>
        <w:numPr>
          <w:ilvl w:val="0"/>
          <w:numId w:val="10"/>
        </w:numPr>
      </w:pPr>
      <w:r>
        <w:rPr>
          <w:rFonts w:ascii="Calibri" w:hAnsi="Calibri" w:eastAsia="Calibri"/>
          <w:color w:val="1A1A1A"/>
        </w:rPr>
        <w:t>demo_orbit_console.txt - complete seven-day application console output.</w:t>
      </w:r>
    </w:p>
    <w:p>
      <w:pPr>
        <w:spacing w:after="80" w:line="280" w:lineRule="auto"/>
        <w:ind w:left="720" w:hanging="360"/>
        <w:numPr>
          <w:ilvl w:val="0"/>
          <w:numId w:val="10"/>
        </w:numPr>
      </w:pPr>
      <w:r>
        <w:rPr>
          <w:rFonts w:ascii="Calibri" w:hAnsi="Calibri" w:eastAsia="Calibri"/>
          <w:color w:val="1A1A1A"/>
        </w:rPr>
        <w:t>stress_orbit_laptop_console.txt - complete laptop-preset console output.</w:t>
      </w:r>
    </w:p>
    <w:p>
      <w:pPr>
        <w:spacing w:after="80" w:line="280" w:lineRule="auto"/>
        <w:ind w:left="720" w:hanging="360"/>
        <w:numPr>
          <w:ilvl w:val="0"/>
          <w:numId w:val="10"/>
        </w:numPr>
      </w:pPr>
      <w:r>
        <w:rPr>
          <w:rFonts w:ascii="Calibri" w:hAnsi="Calibri" w:eastAsia="Calibri"/>
          <w:color w:val="1A1A1A"/>
        </w:rPr>
        <w:t>stress_orbit_vram_console.txt - complete vram-preset console output.</w:t>
      </w:r>
    </w:p>
    <w:p>
      <w:pPr>
        <w:spacing w:after="80" w:line="280" w:lineRule="auto"/>
        <w:ind w:left="720" w:hanging="360"/>
        <w:numPr>
          <w:ilvl w:val="0"/>
          <w:numId w:val="10"/>
        </w:numPr>
      </w:pPr>
      <w:r>
        <w:rPr>
          <w:rFonts w:ascii="Calibri" w:hAnsi="Calibri" w:eastAsia="Calibri"/>
          <w:color w:val="1A1A1A"/>
        </w:rPr>
        <w:t>orbit_*_gpu_telemetry.csv - 200 ms nvidia-smi samples for all primary runs.</w:t>
      </w:r>
    </w:p>
    <w:p>
      <w:pPr>
        <w:spacing w:after="80" w:line="280" w:lineRule="auto"/>
        <w:ind w:left="720" w:hanging="360"/>
        <w:numPr>
          <w:ilvl w:val="0"/>
          <w:numId w:val="10"/>
        </w:numPr>
      </w:pPr>
      <w:r>
        <w:rPr>
          <w:rFonts w:ascii="Calibri" w:hAnsi="Calibri" w:eastAsia="Calibri"/>
          <w:color w:val="1A1A1A"/>
        </w:rPr>
        <w:t>profile_orbit_console.txt, profile_orbit_rerun_console.txt, and profile_orbit_third_attempt_console.txt - three Nsight permission failures and seed-only fallback executions.</w:t>
      </w:r>
    </w:p>
    <w:p>
      <w:pPr>
        <w:spacing w:after="80" w:line="280" w:lineRule="auto"/>
        <w:ind w:left="720" w:hanging="360"/>
        <w:numPr>
          <w:ilvl w:val="0"/>
          <w:numId w:val="10"/>
        </w:numPr>
      </w:pPr>
      <w:r>
        <w:rPr>
          <w:rFonts w:ascii="Calibri" w:hAnsi="Calibri" w:eastAsia="Calibri"/>
          <w:color w:val="1A1A1A"/>
        </w:rPr>
        <w:t>orbit_cuobjdump_resources.txt - static cubin/PTX resource report.</w:t>
      </w:r>
    </w:p>
    <w:p>
      <w:pPr>
        <w:spacing w:after="80" w:line="280" w:lineRule="auto"/>
        <w:ind w:left="720" w:hanging="360"/>
        <w:numPr>
          <w:ilvl w:val="0"/>
          <w:numId w:val="10"/>
        </w:numPr>
      </w:pPr>
      <w:r>
        <w:rPr>
          <w:rFonts w:ascii="Calibri" w:hAnsi="Calibri" w:eastAsia="Calibri"/>
          <w:color w:val="1A1A1A"/>
        </w:rPr>
        <w:t>orbit_full_horizon_oracle_console.txt - stronger oracle failure evidence.</w:t>
      </w:r>
    </w:p>
    <w:p>
      <w:pPr>
        <w:spacing w:after="80" w:line="280" w:lineRule="auto"/>
        <w:ind w:left="720" w:hanging="360"/>
        <w:numPr>
          <w:ilvl w:val="0"/>
          <w:numId w:val="10"/>
        </w:numPr>
      </w:pPr>
      <w:r>
        <w:rPr>
          <w:rFonts w:ascii="Calibri" w:hAnsi="Calibri" w:eastAsia="Calibri"/>
          <w:color w:val="1A1A1A"/>
        </w:rPr>
        <w:t>compute_sanitizer_orbit_console.txt - zero-error memory-safety run.</w:t>
      </w:r>
    </w:p>
    <w:p>
      <w:pPr>
        <w:spacing w:after="80" w:line="280" w:lineRule="auto"/>
        <w:ind w:left="720" w:hanging="360"/>
        <w:numPr>
          <w:ilvl w:val="0"/>
          <w:numId w:val="10"/>
        </w:numPr>
      </w:pPr>
      <w:r>
        <w:rPr>
          <w:rFonts w:ascii="Calibri" w:hAnsi="Calibri" w:eastAsia="Calibri"/>
          <w:color w:val="1A1A1A"/>
        </w:rPr>
        <w:t>orbit_verification_metrics.csv - compact derived-metric summary.</w:t>
      </w:r>
    </w:p>
    <w:p>
      <w:pPr>
        <w:pStyle w:val="Heading2"/>
        <w:keepNext/>
      </w:pPr>
      <w:r>
        <w:t>Commands actually used</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1900"/>
        <w:gridCol w:w="7460"/>
      </w:tblGrid>
      <w:tr>
        <w:trPr>
          <w:tblHeader w:val="true"/>
        </w:trPr>
        <w:tc>
          <w:tcPr>
            <w:tcW w:type="dxa" w:w="19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Purpose</w:t>
            </w:r>
          </w:p>
        </w:tc>
        <w:tc>
          <w:tcPr>
            <w:tcW w:type="dxa" w:w="746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Command summary</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Unmodified build</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powershell -ExecutionPolicy Bypass -File .\scripts\build_windows.ps1</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Pinned build</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cmake ... -T cuda=C:\Program Files\NVIDIA GPU Computing Toolkit\CUDA\v12.8 ...</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Seven-day demo</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demo_orbit_windows.ps1 -BuildDir build-cuda128-vs</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512 MiB</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stress_orbit_windows.ps1 -Preset laptop -BuildDir build-cuda128-vs</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2 GiB</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stress_orbit_windows.ps1 -Preset vram -BuildDir build-cuda128-vs</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Profile</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profile_orbit_windows.ps1 -BuildDir build-cuda128-vs</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Full oracle</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klb_orbit_bench ... --preset file --verify-epochs 604800</w:t>
            </w:r>
          </w:p>
        </w:tc>
      </w:tr>
    </w:tbl>
    <w:p>
      <w:pPr>
        <w:spacing w:after="60"/>
      </w:pPr>
    </w:p>
    <w:p>
      <w:pPr>
        <w:pStyle w:val="Heading2"/>
        <w:keepNext/>
      </w:pPr>
      <w:r>
        <w:t>Overall assessment</w:t>
      </w:r>
    </w:p>
    <w:p>
      <w:pPr>
        <w:spacing w:after="120"/>
      </w:pPr>
      <w:r>
        <w:rPr>
          <w:rFonts w:ascii="Calibri" w:hAnsi="Calibri" w:eastAsia="Calibri"/>
          <w:i w:val="0"/>
          <w:color w:val="1A1A1A"/>
        </w:rPr>
        <w:t>The v0.3 architecture turns the earlier launch-sized microbenchmark into a legitimate sustained crossover experiment. The direct seed path is real, correct under the stated acceptance gate, memory-efficient, and narrowly faster than rebuilding a dense table for a one-off query. The design is promising as a query-first substrate, but it is not ready for operational orbital use until full-horizon numerical parity, hardware profiling, and SGP4 error/event-order validation are complete.</w:t>
      </w:r>
    </w:p>
    <w:sectPr w:rsidR="00FC693F" w:rsidRPr="0006063C" w:rsidSect="00034616">
      <w:footerReference w:type="default" r:id="rId20"/>
      <w:pgSz w:w="12240" w:h="15840"/>
      <w:pgMar w:top="792"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E6670"/>
        <w:sz w:val="18"/>
      </w:rPr>
      <w:t>Independent laptop verification | 16 August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720"/>
        </w:tabs>
        <w:ind w:left="720" w:hanging="360"/>
      </w:pPr>
    </w:lvl>
  </w:abstractNum>
  <w:abstractNum w:abstractNumId="10">
    <w:multiLevelType w:val="singleLevel"/>
    <w:lvl w:ilvl="0">
      <w:start w:val="1"/>
      <w:numFmt w:val="decimal"/>
      <w:lvlText w:val="%1."/>
      <w:suff w:val="tab"/>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b w:val="0"/>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KLB OrbitSeed GPU 0.3.0 Laptop Verification</dc:title>
  <dc:subject>ELI5 CUDA, compression, crossover, correctness, and feasibility report</dc:subject>
  <dc:creator>OpenAI Codex</dc:creator>
  <cp:keywords>KLB, OrbitSeed, CUDA, RTX 5070 Ti, orbit, verification, ELI5</cp:keywords>
  <dc:description>generated by python-docx</dc:description>
  <cp:lastModifiedBy/>
  <cp:revision>1</cp:revision>
  <dcterms:created xsi:type="dcterms:W3CDTF">2013-12-23T23:15:00Z</dcterms:created>
  <dcterms:modified xsi:type="dcterms:W3CDTF">2013-12-23T23:15:00Z</dcterms:modified>
  <cp:category/>
</cp:coreProperties>
</file>