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7691A" w14:textId="77777777" w:rsidR="00B94178" w:rsidRDefault="00453EF5" w:rsidP="00453EF5">
      <w:pPr>
        <w:pStyle w:val="Title"/>
      </w:pPr>
      <w:r>
        <w:t>Protocol Pillar-Modiolar Assessment</w:t>
      </w:r>
    </w:p>
    <w:p w14:paraId="0327BBC1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 w:rsidRPr="00453EF5">
        <w:rPr>
          <w:lang w:val="en-US"/>
        </w:rPr>
        <w:t>Place spots on IHC nuclei a</w:t>
      </w:r>
      <w:r>
        <w:rPr>
          <w:lang w:val="en-US"/>
        </w:rPr>
        <w:t>nd draw volumes as normal</w:t>
      </w:r>
    </w:p>
    <w:p w14:paraId="265A7C29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CTBP2 channel only because the SNR is better</w:t>
      </w:r>
    </w:p>
    <w:p w14:paraId="7859E857" w14:textId="1CF7B9A3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surface</w:t>
      </w:r>
      <w:r w:rsidR="006C66DF">
        <w:rPr>
          <w:lang w:val="en-US"/>
        </w:rPr>
        <w:t xml:space="preserve"> called ‘IHC masks’</w:t>
      </w:r>
      <w:r>
        <w:rPr>
          <w:lang w:val="en-US"/>
        </w:rPr>
        <w:t xml:space="preserve"> and skip automatic creation</w:t>
      </w:r>
    </w:p>
    <w:p w14:paraId="2C335255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Reset view and set perspective to orthogonal</w:t>
      </w:r>
    </w:p>
    <w:p w14:paraId="47EA631E" w14:textId="4AF5547F" w:rsidR="00453EF5" w:rsidRDefault="00DE710B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the Draw </w:t>
      </w:r>
      <w:r w:rsidRPr="00DE710B">
        <w:rPr>
          <w:lang w:val="en-US"/>
        </w:rPr>
        <w:sym w:font="Wingdings" w:char="F0E0"/>
      </w:r>
      <w:r>
        <w:rPr>
          <w:lang w:val="en-US"/>
        </w:rPr>
        <w:t xml:space="preserve"> Contour </w:t>
      </w:r>
      <w:r w:rsidRPr="00DE710B">
        <w:rPr>
          <w:lang w:val="en-US"/>
        </w:rPr>
        <w:sym w:font="Wingdings" w:char="F0E0"/>
      </w:r>
      <w:r>
        <w:rPr>
          <w:lang w:val="en-US"/>
        </w:rPr>
        <w:t xml:space="preserve"> Board</w:t>
      </w:r>
      <w:r w:rsidR="00453EF5">
        <w:rPr>
          <w:lang w:val="en-US"/>
        </w:rPr>
        <w:t xml:space="preserve"> </w:t>
      </w:r>
      <w:r>
        <w:rPr>
          <w:lang w:val="en-US"/>
        </w:rPr>
        <w:t xml:space="preserve">tab, set </w:t>
      </w:r>
      <w:r w:rsidR="00453EF5">
        <w:rPr>
          <w:lang w:val="en-US"/>
        </w:rPr>
        <w:t>resolution manual</w:t>
      </w:r>
      <w:r w:rsidR="006C66DF">
        <w:rPr>
          <w:lang w:val="en-US"/>
        </w:rPr>
        <w:t xml:space="preserve"> and specify 512, 512</w:t>
      </w:r>
      <w:r w:rsidR="00453EF5">
        <w:rPr>
          <w:lang w:val="en-US"/>
        </w:rPr>
        <w:t xml:space="preserve"> and click draw</w:t>
      </w:r>
    </w:p>
    <w:p w14:paraId="05E94062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Draw around the synapse bundle of a single IHC and take a big section incl OHC for orientation</w:t>
      </w:r>
    </w:p>
    <w:p w14:paraId="605791D8" w14:textId="77777777" w:rsidR="00453EF5" w:rsidRDefault="00453EF5" w:rsidP="00453EF5">
      <w:pPr>
        <w:rPr>
          <w:lang w:val="en-US"/>
        </w:rPr>
      </w:pPr>
      <w:r w:rsidRPr="00453EF5">
        <w:rPr>
          <w:noProof/>
          <w:lang w:val="en-US"/>
        </w:rPr>
        <w:drawing>
          <wp:inline distT="0" distB="0" distL="0" distR="0" wp14:anchorId="1AF9E85C" wp14:editId="5C609324">
            <wp:extent cx="3651250" cy="22542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034" cy="22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5AF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contour, go to top slice and paste, create surface</w:t>
      </w:r>
    </w:p>
    <w:p w14:paraId="2AB238BA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contour lines and draw in the next IHCs until all surfaces have been created</w:t>
      </w:r>
    </w:p>
    <w:p w14:paraId="1236FC5C" w14:textId="77777777" w:rsidR="00453EF5" w:rsidRDefault="00453EF5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drawing all IHCs that are included in analysis</w:t>
      </w:r>
    </w:p>
    <w:p w14:paraId="627BFF28" w14:textId="77777777" w:rsidR="00453EF5" w:rsidRDefault="00DE710B" w:rsidP="00453EF5">
      <w:pPr>
        <w:rPr>
          <w:lang w:val="en-US"/>
        </w:rPr>
      </w:pPr>
      <w:r w:rsidRPr="00DE710B">
        <w:rPr>
          <w:noProof/>
          <w:lang w:val="en-US"/>
        </w:rPr>
        <w:drawing>
          <wp:inline distT="0" distB="0" distL="0" distR="0" wp14:anchorId="291A18B4" wp14:editId="0CC3FA24">
            <wp:extent cx="3333750" cy="20663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009" cy="20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20A" w14:textId="77777777" w:rsidR="00453EF5" w:rsidRDefault="00DE710B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first volume, go to Edit, select Mask Selection, set the first channel (duplicate channel before applying mask with constant inside/outside and voxels outside surface to 0) and press OK</w:t>
      </w:r>
    </w:p>
    <w:p w14:paraId="5DA191AC" w14:textId="77777777" w:rsidR="00DE710B" w:rsidRDefault="00DE710B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Duplicate all channels of all IHCs</w:t>
      </w:r>
    </w:p>
    <w:p w14:paraId="1A5E5DBC" w14:textId="77777777" w:rsidR="00DE710B" w:rsidRDefault="00DE710B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Navigate to Edit </w:t>
      </w:r>
      <w:r w:rsidRPr="00DE710B">
        <w:rPr>
          <w:lang w:val="en-US"/>
        </w:rPr>
        <w:sym w:font="Wingdings" w:char="F0E0"/>
      </w:r>
      <w:r>
        <w:rPr>
          <w:lang w:val="en-US"/>
        </w:rPr>
        <w:t xml:space="preserve"> Image Properties and name channels according to IHC number</w:t>
      </w:r>
    </w:p>
    <w:p w14:paraId="313EBE81" w14:textId="77777777" w:rsidR="00DE710B" w:rsidRDefault="00DE710B" w:rsidP="00453E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Deselect the Surfaces object with the slices for masking</w:t>
      </w:r>
    </w:p>
    <w:p w14:paraId="4F1F2019" w14:textId="77777777" w:rsidR="00DE710B" w:rsidRDefault="00DE710B" w:rsidP="00DE710B">
      <w:pPr>
        <w:rPr>
          <w:lang w:val="en-US"/>
        </w:rPr>
      </w:pPr>
      <w:r w:rsidRPr="00DE710B">
        <w:rPr>
          <w:noProof/>
          <w:lang w:val="en-US"/>
        </w:rPr>
        <w:lastRenderedPageBreak/>
        <w:drawing>
          <wp:inline distT="0" distB="0" distL="0" distR="0" wp14:anchorId="4EA4C993" wp14:editId="511BE430">
            <wp:extent cx="3546842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8408" cy="194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2A0" w14:textId="344343A0" w:rsidR="00DE710B" w:rsidRDefault="00DE710B" w:rsidP="00DE71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Navigate to the Edit Labels tab on the Ribbons object, press + under sets </w:t>
      </w:r>
      <w:r w:rsidR="006C66DF">
        <w:rPr>
          <w:lang w:val="en-US"/>
        </w:rPr>
        <w:t>as many as there are IHCs and rename to IHC1… etc. Repeat for PSDs.</w:t>
      </w:r>
    </w:p>
    <w:p w14:paraId="1BEEE5A1" w14:textId="6BF1ED62" w:rsidR="006C66DF" w:rsidRDefault="006C66DF" w:rsidP="00DE71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Within each set, make a class for pillar and modiolar</w:t>
      </w:r>
    </w:p>
    <w:p w14:paraId="5FE61245" w14:textId="0394AC0C" w:rsidR="00DE710B" w:rsidRDefault="00DE710B" w:rsidP="00DE71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ribbons of the first IHC</w:t>
      </w:r>
      <w:r w:rsidR="00175A9C">
        <w:rPr>
          <w:lang w:val="en-US"/>
        </w:rPr>
        <w:t xml:space="preserve">, press assign </w:t>
      </w:r>
      <w:r w:rsidR="006C66DF">
        <w:rPr>
          <w:lang w:val="en-US"/>
        </w:rPr>
        <w:t>on the corresponding set (default class, called class A)</w:t>
      </w:r>
    </w:p>
    <w:p w14:paraId="1857BB82" w14:textId="77777777" w:rsidR="00175A9C" w:rsidRDefault="00175A9C" w:rsidP="00175A9C">
      <w:pPr>
        <w:rPr>
          <w:lang w:val="en-US"/>
        </w:rPr>
      </w:pPr>
      <w:r w:rsidRPr="00175A9C">
        <w:rPr>
          <w:noProof/>
          <w:lang w:val="en-US"/>
        </w:rPr>
        <w:drawing>
          <wp:inline distT="0" distB="0" distL="0" distR="0" wp14:anchorId="04A0B6AC" wp14:editId="47EB37B6">
            <wp:extent cx="3575050" cy="1961706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4580" cy="1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26EA" w14:textId="77777777" w:rsidR="00175A9C" w:rsidRDefault="00175A9C" w:rsidP="0017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Classify all ribbons and PSDs to their respective IHC</w:t>
      </w:r>
    </w:p>
    <w:p w14:paraId="24FEE428" w14:textId="1248DF46" w:rsidR="00175A9C" w:rsidRDefault="00175A9C" w:rsidP="0017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Display Adjustment, only select IHC1, under ribbons and PSDs, go to color, set ‘Only show objects with visible label or event’ </w:t>
      </w:r>
      <w:r w:rsidR="006C66DF">
        <w:rPr>
          <w:lang w:val="en-US"/>
        </w:rPr>
        <w:t>then on the Edit Labels tab, only tick the box for IHC1</w:t>
      </w:r>
    </w:p>
    <w:p w14:paraId="6183A3D4" w14:textId="251DCF41" w:rsidR="00175A9C" w:rsidRDefault="00175A9C" w:rsidP="0017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Take a lateral viewpoint, create</w:t>
      </w:r>
      <w:r w:rsidR="006C66DF">
        <w:rPr>
          <w:lang w:val="en-US"/>
        </w:rPr>
        <w:t xml:space="preserve"> as many</w:t>
      </w:r>
      <w:r>
        <w:rPr>
          <w:lang w:val="en-US"/>
        </w:rPr>
        <w:t xml:space="preserve"> Measurement Point object</w:t>
      </w:r>
      <w:r w:rsidR="006C66DF">
        <w:rPr>
          <w:lang w:val="en-US"/>
        </w:rPr>
        <w:t>s as there are IHCs and name each</w:t>
      </w:r>
    </w:p>
    <w:p w14:paraId="1230D8EE" w14:textId="77777777" w:rsidR="00175A9C" w:rsidRDefault="00175A9C" w:rsidP="0017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a point in the center of IHC nucleus and under the basal pole of the IHC</w:t>
      </w:r>
    </w:p>
    <w:p w14:paraId="76FEDEED" w14:textId="6D58B104" w:rsidR="00175A9C" w:rsidRDefault="006C66DF" w:rsidP="00175A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Using the multi select tool, assign </w:t>
      </w:r>
      <w:r w:rsidR="00175A9C">
        <w:rPr>
          <w:lang w:val="en-US"/>
        </w:rPr>
        <w:t xml:space="preserve">Pillar ribbons to </w:t>
      </w:r>
      <w:r>
        <w:rPr>
          <w:lang w:val="en-US"/>
        </w:rPr>
        <w:t>the pillar class</w:t>
      </w:r>
      <w:r w:rsidR="00175A9C">
        <w:rPr>
          <w:lang w:val="en-US"/>
        </w:rPr>
        <w:t xml:space="preserve">, repeat for modiolar and </w:t>
      </w:r>
      <w:r>
        <w:rPr>
          <w:lang w:val="en-US"/>
        </w:rPr>
        <w:t>delete the default class (A), repeat for PSDs, then repeat for all IHCs</w:t>
      </w:r>
    </w:p>
    <w:p w14:paraId="2ABB1A58" w14:textId="77777777" w:rsidR="00175A9C" w:rsidRDefault="00175A9C" w:rsidP="00175A9C">
      <w:pPr>
        <w:rPr>
          <w:lang w:val="en-US"/>
        </w:rPr>
      </w:pPr>
      <w:r w:rsidRPr="00175A9C">
        <w:rPr>
          <w:noProof/>
          <w:lang w:val="en-US"/>
        </w:rPr>
        <w:drawing>
          <wp:inline distT="0" distB="0" distL="0" distR="0" wp14:anchorId="3F58796E" wp14:editId="2C0DC098">
            <wp:extent cx="3149600" cy="19889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338" cy="20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6F5" w:rsidRPr="002246F5">
        <w:rPr>
          <w:noProof/>
          <w:lang w:val="en-US"/>
        </w:rPr>
        <w:drawing>
          <wp:inline distT="0" distB="0" distL="0" distR="0" wp14:anchorId="22ED1B47" wp14:editId="746BC6CB">
            <wp:extent cx="2584450" cy="202494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600413" cy="20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5957" w14:textId="77777777" w:rsidR="002246F5" w:rsidRDefault="002246F5" w:rsidP="002246F5">
      <w:pPr>
        <w:rPr>
          <w:lang w:val="en-US"/>
        </w:rPr>
      </w:pPr>
      <w:r w:rsidRPr="002246F5">
        <w:rPr>
          <w:noProof/>
          <w:lang w:val="en-US"/>
        </w:rPr>
        <w:lastRenderedPageBreak/>
        <w:drawing>
          <wp:inline distT="0" distB="0" distL="0" distR="0" wp14:anchorId="0AC831E2" wp14:editId="2EFDEBC3">
            <wp:extent cx="3352800" cy="29410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4600" cy="29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15C" w14:textId="77777777" w:rsidR="002246F5" w:rsidRDefault="002246F5" w:rsidP="002246F5">
      <w:pPr>
        <w:rPr>
          <w:lang w:val="en-US"/>
        </w:rPr>
      </w:pPr>
      <w:r w:rsidRPr="002246F5">
        <w:rPr>
          <w:noProof/>
          <w:lang w:val="en-US"/>
        </w:rPr>
        <w:drawing>
          <wp:inline distT="0" distB="0" distL="0" distR="0" wp14:anchorId="39170C9C" wp14:editId="6E02E78A">
            <wp:extent cx="309079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120" cy="2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4FB1" w14:textId="77777777" w:rsidR="00F805BA" w:rsidRDefault="00F805BA" w:rsidP="00F805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ribbons surface, navigate to statistics, make sure surface position X, Y, Z, area and volume are included using the configuration button bottom left</w:t>
      </w:r>
      <w:r w:rsidR="005D427E">
        <w:rPr>
          <w:lang w:val="en-US"/>
        </w:rPr>
        <w:t xml:space="preserve"> (1)</w:t>
      </w:r>
      <w:r>
        <w:rPr>
          <w:lang w:val="en-US"/>
        </w:rPr>
        <w:t xml:space="preserve"> and select export all statistics on file</w:t>
      </w:r>
      <w:r w:rsidR="005D427E">
        <w:rPr>
          <w:lang w:val="en-US"/>
        </w:rPr>
        <w:t xml:space="preserve"> (2)</w:t>
      </w:r>
    </w:p>
    <w:p w14:paraId="7C0C415E" w14:textId="77777777" w:rsidR="00F805BA" w:rsidRDefault="005D427E" w:rsidP="005D427E">
      <w:pPr>
        <w:ind w:left="360"/>
        <w:rPr>
          <w:lang w:val="en-US"/>
        </w:rPr>
      </w:pPr>
      <w:r w:rsidRPr="005D427E">
        <w:rPr>
          <w:noProof/>
          <w:lang w:val="en-US"/>
        </w:rPr>
        <w:drawing>
          <wp:inline distT="0" distB="0" distL="0" distR="0" wp14:anchorId="1F30DB6D" wp14:editId="035570D4">
            <wp:extent cx="2705100" cy="16751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666" cy="16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ADF4" w14:textId="77777777" w:rsidR="005D427E" w:rsidRDefault="005D427E" w:rsidP="005D42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Export PSDs the same way</w:t>
      </w:r>
    </w:p>
    <w:sectPr w:rsidR="005D42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B56415"/>
    <w:multiLevelType w:val="hybridMultilevel"/>
    <w:tmpl w:val="40DA74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307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F5"/>
    <w:rsid w:val="00043F72"/>
    <w:rsid w:val="00175A9C"/>
    <w:rsid w:val="002246F5"/>
    <w:rsid w:val="002465D0"/>
    <w:rsid w:val="003D325A"/>
    <w:rsid w:val="00453EF5"/>
    <w:rsid w:val="005D427E"/>
    <w:rsid w:val="006C66DF"/>
    <w:rsid w:val="00AD5733"/>
    <w:rsid w:val="00B94178"/>
    <w:rsid w:val="00D6324A"/>
    <w:rsid w:val="00DE710B"/>
    <w:rsid w:val="00E07CA9"/>
    <w:rsid w:val="00F8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178B0"/>
  <w15:chartTrackingRefBased/>
  <w15:docId w15:val="{978B9490-D7C0-4981-B041-133E88823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EF5"/>
  </w:style>
  <w:style w:type="paragraph" w:styleId="Heading1">
    <w:name w:val="heading 1"/>
    <w:basedOn w:val="Normal"/>
    <w:next w:val="Normal"/>
    <w:link w:val="Heading1Char"/>
    <w:uiPriority w:val="9"/>
    <w:qFormat/>
    <w:rsid w:val="00453EF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EF5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EF5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EF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EF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EF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EF5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EF5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EF5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EF5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E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EF5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EF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EF5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EF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EF5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EF5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EF5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3EF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53EF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53EF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EF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53EF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53EF5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53EF5"/>
    <w:rPr>
      <w:i/>
      <w:iCs/>
      <w:color w:val="auto"/>
    </w:rPr>
  </w:style>
  <w:style w:type="paragraph" w:styleId="NoSpacing">
    <w:name w:val="No Spacing"/>
    <w:uiPriority w:val="1"/>
    <w:qFormat/>
    <w:rsid w:val="00453EF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53EF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3EF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EF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EF5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453EF5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453EF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53EF5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53EF5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453EF5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3EF5"/>
    <w:pPr>
      <w:outlineLvl w:val="9"/>
    </w:pPr>
  </w:style>
  <w:style w:type="paragraph" w:styleId="ListParagraph">
    <w:name w:val="List Paragraph"/>
    <w:basedOn w:val="Normal"/>
    <w:uiPriority w:val="34"/>
    <w:qFormat/>
    <w:rsid w:val="00453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Groningen</Company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Ronde, M (kno)</dc:creator>
  <cp:keywords/>
  <dc:description/>
  <cp:lastModifiedBy>Naber, TH (kno)</cp:lastModifiedBy>
  <cp:revision>4</cp:revision>
  <dcterms:created xsi:type="dcterms:W3CDTF">2025-10-06T10:47:00Z</dcterms:created>
  <dcterms:modified xsi:type="dcterms:W3CDTF">2025-10-07T11:49:00Z</dcterms:modified>
</cp:coreProperties>
</file>