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668A2" w14:textId="77777777" w:rsidR="00207282" w:rsidRDefault="00000000">
      <w:pPr>
        <w:pStyle w:val="Heading1"/>
      </w:pPr>
      <w:bookmarkStart w:id="0" w:name="Xe418a62c81d8423058f4d9fef9de65138c35d66"/>
      <w:r>
        <w:t>Networks with multiple timescale adaptation learn faster</w:t>
      </w:r>
    </w:p>
    <w:p w14:paraId="5178D6B5" w14:textId="77777777" w:rsidR="00207282" w:rsidRDefault="00000000">
      <w:pPr>
        <w:pStyle w:val="Heading2"/>
      </w:pPr>
      <w:bookmarkStart w:id="1" w:name="introduction"/>
      <w:r>
        <w:t>Introduction</w:t>
      </w:r>
    </w:p>
    <w:p w14:paraId="23D1BF03" w14:textId="77777777" w:rsidR="00207282" w:rsidRDefault="00000000">
      <w:pPr>
        <w:pStyle w:val="FirstParagraph"/>
      </w:pPr>
      <w:r>
        <w:t>Motivating question: do networks with multiple timescale adaptation learn more quickly than those lacking adaptation?</w:t>
      </w:r>
    </w:p>
    <w:p w14:paraId="4099A716" w14:textId="0782F290" w:rsidR="00207282" w:rsidRDefault="00000000">
      <w:pPr>
        <w:pStyle w:val="BodyText"/>
      </w:pPr>
      <w:r>
        <w:t xml:space="preserve">Scenario: dynamical modeling of a vector autoregressive dataset. Physiological datasets contain multiple time series measures with unknown dynamics. We used a kinematics dataset (17 joint positions and velocities) of a simulated cheetah running in a reinforcement learning environment </w:t>
      </w:r>
      <w:r>
        <w:fldChar w:fldCharType="begin"/>
      </w:r>
      <w:r w:rsidR="0006095A">
        <w:instrText xml:space="preserve"> ADDIN ZOTERO_ITEM CSL_CITATION {"citationID":"00000001","properties":{"unsorted":false,"formattedCitation":"(Towers et al., 2026; Wawrzy\\uc0\\u324{}ski, 2009)","plainCitation":"(Towers et al., 2026; Wawrzyński, 2009)","noteIndex":0},"citationItems":[{"id":13231,"uris":["http://zotero.org/users/9275/items/BBQVIJ5N"],"itemData":{"id":13231,"type":"article-journal","citation-key":"towersGymnasiumStandardInterface2026","container-title":"Advances in Neural Information Processing Systems","DOI":"10.52202/085713-4916","language":"en","source":"proceedings.neurips.cc","title":"Gymnasium: A Standard Interface for Reinforcement Learning Environments","title-short":"Gymnasium","URL":"https://proceedings.neurips.cc/paper_files/paper/2025/hash/d7ff1795e8527f6443371c3933bdb52b-Abstract-Datasets_and_Benchmarks_Track.html","volume":"38","author":[{"family":"Towers","given":"Mark"},{"family":"Kwiatkowski","given":"Ariel"},{"family":"Balis","given":"John"},{"family":"De Cola","given":"Gianluca"},{"family":"Deleu","given":"Tristan"},{"family":"Goulão","given":"Manuel"},{"family":"Andreas","given":"Kallinteris"},{"family":"Krimmel","given":"Markus"},{"family":"Kg","given":"Arjun"},{"family":"Perez-Vicente","given":"Rodrigo"},{"family":"Terry","given":"J."},{"family":"Pierré","given":"Andrea"},{"family":"Schulhoff","given":"Sander"},{"family":"Tai","given":"Jun Jet"},{"family":"Tan","given":"Hannah"},{"family":"Younis","given":"Omar G."}],"accessed":{"date-parts":[["2026",8,27]]},"issued":{"date-parts":[["2026",4,23]]}},"prefix":""},{"id":13233,"uris":["http://zotero.org/users/9275/items/CL6BMUYC"],"itemData":{"id":13233,"type":"paper-conference","abstract":"Actor-Critics constitute an important class of reinforcement learning algorithms that can deal with continuous actions and states in an easy and natural way. In their original, sequential form, these algorithms are usually to slow to be applicable to real-life problems. However, they can be augmented by the technique of experience replay to obtain a satisfactory of learning without degrading their convergence properties. In this paper experimental results are presented that show that the combination of experience replay and Actor-Critics yields very fast learning algorithms that achieve successful policies for nontrivial control tasks in considerably short time. Namely, a policy for a model of 6-degree-of-freedom walking robot is obtained after 4 hours of the robot’s time.","citation-key":"wawrzynskiCatLikeRobotRealTime2009","container-title":"Adaptive and Natural Computing Algorithms","DOI":"10.1007/978-3-642-04921-7_39","ISBN":"978-3-642-04921-7","language":"en","page":"380-390","publisher":"Springer","publisher-place":"Berlin, Heidelberg","source":"Springer Link","title":"A Cat-Like Robot Real-Time Learning to Run","author":[{"family":"Wawrzyński","given":"Paweł"}],"editor":[{"family":"Kolehmainen","given":"Mikko"},{"family":"Toivanen","given":"Pekka"},{"family":"Beliczynski","given":"Bartlomiej"}],"issued":{"date-parts":[["2009"]]}},"prefix":""}],"schema":"https://github.com/citation-style-language/schema/raw/master/csl-citation.json"} </w:instrText>
      </w:r>
      <w:r>
        <w:fldChar w:fldCharType="separate"/>
      </w:r>
      <w:r w:rsidR="0006095A" w:rsidRPr="0006095A">
        <w:rPr>
          <w:rFonts w:ascii="Aptos" w:cs="Times New Roman"/>
        </w:rPr>
        <w:t xml:space="preserve">(Towers et al., 2026; </w:t>
      </w:r>
      <w:proofErr w:type="spellStart"/>
      <w:r w:rsidR="0006095A" w:rsidRPr="0006095A">
        <w:rPr>
          <w:rFonts w:ascii="Aptos" w:cs="Times New Roman"/>
        </w:rPr>
        <w:t>Wawrzyński</w:t>
      </w:r>
      <w:proofErr w:type="spellEnd"/>
      <w:r w:rsidR="0006095A" w:rsidRPr="0006095A">
        <w:rPr>
          <w:rFonts w:ascii="Aptos" w:cs="Times New Roman"/>
        </w:rPr>
        <w:t>, 2009)</w:t>
      </w:r>
      <w:r>
        <w:fldChar w:fldCharType="end"/>
      </w:r>
      <w:r>
        <w:t>. The data were sampled at 100 Hz and split into 20 minutes for training, 3 minutes for validation, and 3 minutes for testing.</w:t>
      </w:r>
    </w:p>
    <w:p w14:paraId="61ABDE64" w14:textId="77777777" w:rsidR="00207282" w:rsidRDefault="00000000">
      <w:pPr>
        <w:pStyle w:val="Heading2"/>
      </w:pPr>
      <w:bookmarkStart w:id="2" w:name="networks"/>
      <w:bookmarkEnd w:id="1"/>
      <w:r>
        <w:t>Networks</w:t>
      </w:r>
    </w:p>
    <w:p w14:paraId="197F95A5" w14:textId="0F11206D" w:rsidR="00207282" w:rsidRDefault="00000000">
      <w:pPr>
        <w:pStyle w:val="FirstParagraph"/>
      </w:pPr>
      <w:r>
        <w:t xml:space="preserve">Our network is a continuous-time recurrent neural network that optionally includes spike frequency adaptation and short-term synaptic depression </w:t>
      </w:r>
      <w:r>
        <w:fldChar w:fldCharType="begin"/>
      </w:r>
      <w:r w:rsidR="0006095A">
        <w:instrText xml:space="preserve"> ADDIN ZOTERO_ITEM CSL_CITATION {"citationID":"00000002","properties":{"unsorted":false,"formattedCitation":"(Richner et al., 2026)","plainCitation":"(Richner et al., 2026)","noteIndex":0},"citationItems":[{"id":12914,"uris":["http://zotero.org/users/9275/items/WWBYH5R3"],"itemData":{"id":12914,"type":"article-journal","abstract":"The brain is a highly recurrent, nonlinear network hypothesized to remain near the edge of chaos for optimal performance. Excitation and inhibition must be balanced precisely within every neuron to ensure a consistent level of dynamical stability and rich dynamics during transition to chaos. However, analysis of biologically realistic synaptic weight matrices suggests that sparsity and low-dimensional structure interact such that there is no known synaptic balancing rule that constrains the stability (i.e., eigenvalues) of the network while also preserving computationally useful, low-dimensional structure. Further, even if a network were well-balanced, external stimuli interact with the nonlinear activation functions to unbalance the network in real time. Therefore, the brain must utilize dynamic, rather than static, mechanisms to actively regulate its level of stability. We propose that two specific adaptation mechanisms, spike frequency adaptation (SFA) and short-term synaptic depression (STD), continuously modulate the effective connectivity, keeping the brain near the edge of chaos and reducing dynamical fluctuations caused by stimuli. This theoretical framework links intrinsic and synaptic negative feedback mechanisms to network-level dynamics. This offers an explanation of why data-driven modeling of human brain signals, an exciting and useful method in epilepsy and anesthesiology research, seems to require linear time-varying (LTV) models which are refit every half second: difficult to observe adaptation processes interact with nonlinearities to make connectivity effectively dynamic at the macroelectrode scale. We suggest that compromised adaptation may underlie neurological conditions characterized by altered excitability, and that targeted brain stimulation could be used to probe the regulatory action of adaptation.","citation-key":"richnerAdaptationModulatesEffective2026","container-title":"Frontiers in Computational Neuroscience","DOI":"10.3389/fncom.2026.1761735","ISSN":"1662-5188","journalAbbreviation":"Front. Comput. Neurosci.","language":"English","publisher":"Frontiers","source":"Frontiers","title":"Adaptation modulates effective connectivity and network stability","URL":"https://www.frontiersin.org/journals/computational-neuroscience/articles/10.3389/fncom.2026.1761735/full","volume":"20","author":[{"family":"Richner","given":"Thomas J."},{"family":"Dervinis","given":"Martynas"},{"family":"Lundstrom","given":"Brian Nils"}],"accessed":{"date-parts":[["2026",4,10]]},"issued":{"date-parts":[["2026",4,10]]}},"prefix":""}],"schema":"https://github.com/citation-style-language/schema/raw/master/csl-citation.json"} </w:instrText>
      </w:r>
      <w:r>
        <w:fldChar w:fldCharType="separate"/>
      </w:r>
      <w:r w:rsidR="0006095A">
        <w:rPr>
          <w:noProof/>
        </w:rPr>
        <w:t>(Richner et al., 2026)</w:t>
      </w:r>
      <w:r>
        <w:fldChar w:fldCharType="end"/>
      </w:r>
      <w:r>
        <w:t>. Each network was initialized as a randomly connected sparse network with a sigmoidal nonlinearity. Each network has 300 neurons, composed of 50% excitatory and 50% inhibitory neurons. The recurrent connections are sparse, with each neuron receiving and sending about 100 connections.</w:t>
      </w:r>
    </w:p>
    <w:p w14:paraId="4E9CA352" w14:textId="77777777" w:rsidR="00207282" w:rsidRDefault="00000000">
      <w:pPr>
        <w:pStyle w:val="BodyText"/>
      </w:pPr>
      <w:r>
        <w:t>We compare two network variants: (1) a network with multiple timescale spike frequency adaptation (SFA) plus short-term synaptic depression (STD), and (2) a network with neither SFA nor STD, that is, no adaptation. The networks with adaptation had 32,608 trainable parameters, while those without adaptation had 32,598, just 0.03% fewer.</w:t>
      </w:r>
    </w:p>
    <w:p w14:paraId="6A326C75" w14:textId="77777777" w:rsidR="00207282" w:rsidRDefault="00000000">
      <w:pPr>
        <w:pStyle w:val="Heading2"/>
      </w:pPr>
      <w:bookmarkStart w:id="3" w:name="multiple-timescale-adaptation"/>
      <w:bookmarkEnd w:id="2"/>
      <w:r>
        <w:t>Multiple timescale adaptation</w:t>
      </w:r>
    </w:p>
    <w:p w14:paraId="2B77C562" w14:textId="0D6469E5" w:rsidR="00207282" w:rsidRDefault="00000000">
      <w:pPr>
        <w:pStyle w:val="FirstParagraph"/>
      </w:pPr>
      <w:r>
        <w:t xml:space="preserve">Multiple timescale adaptation and short-term synaptic depression are latent variables for each neuron that adjust its bias and gain. For modeling details see </w:t>
      </w:r>
      <w:r>
        <w:fldChar w:fldCharType="begin"/>
      </w:r>
      <w:r w:rsidR="0006095A">
        <w:instrText xml:space="preserve"> ADDIN ZOTERO_ITEM CSL_CITATION {"citationID":"00000003","properties":{"unsorted":false,"formattedCitation":"(Lundstrom &amp; Richner, 2023; Richner et al., 2026)","plainCitation":"(Lundstrom &amp; Richner, 2023; Richner et al., 2026)","noteIndex":0},"citationItems":[{"id":36,"uris":["http://zotero.org/users/9275/items/SJCYNL8K"],"itemData":{"id":36,"type":"article-journal","abstract":"The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excitability.","citation-key":"lundstromNeuralAdaptationFractional2023","container-title":"PLOS Computational Biology","DOI":"10.1371/journal.pcbi.1010527","ISSN":"1553-7358","issue":"2","journalAbbreviation":"PLOS Computational Biology","language":"en","page":"e1010527","publisher":"Public Library of Science","source":"PLoS Journals","title":"Neural adaptation and fractional dynamics as a window to underlying neural excitability","volume":"19","author":[{"family":"Lundstrom","given":"Brian Nils"},{"family":"Richner","given":"Thomas J."}],"issued":{"date-parts":[["2023",2,21]]}},"prefix":""},{"id":12914,"uris":["http://zotero.org/users/9275/items/WWBYH5R3"],"itemData":{"id":12914,"type":"article-journal","abstract":"The brain is a highly recurrent, nonlinear network hypothesized to remain near the edge of chaos for optimal performance. Excitation and inhibition must be balanced precisely within every neuron to ensure a consistent level of dynamical stability and rich dynamics during transition to chaos. However, analysis of biologically realistic synaptic weight matrices suggests that sparsity and low-dimensional structure interact such that there is no known synaptic balancing rule that constrains the stability (i.e., eigenvalues) of the network while also preserving computationally useful, low-dimensional structure. Further, even if a network were well-balanced, external stimuli interact with the nonlinear activation functions to unbalance the network in real time. Therefore, the brain must utilize dynamic, rather than static, mechanisms to actively regulate its level of stability. We propose that two specific adaptation mechanisms, spike frequency adaptation (SFA) and short-term synaptic depression (STD), continuously modulate the effective connectivity, keeping the brain near the edge of chaos and reducing dynamical fluctuations caused by stimuli. This theoretical framework links intrinsic and synaptic negative feedback mechanisms to network-level dynamics. This offers an explanation of why data-driven modeling of human brain signals, an exciting and useful method in epilepsy and anesthesiology research, seems to require linear time-varying (LTV) models which are refit every half second: difficult to observe adaptation processes interact with nonlinearities to make connectivity effectively dynamic at the macroelectrode scale. We suggest that compromised adaptation may underlie neurological conditions characterized by altered excitability, and that targeted brain stimulation could be used to probe the regulatory action of adaptation.","citation-key":"richnerAdaptationModulatesEffective2026","container-title":"Frontiers in Computational Neuroscience","DOI":"10.3389/fncom.2026.1761735","ISSN":"1662-5188","journalAbbreviation":"Front. Comput. Neurosci.","language":"English","publisher":"Frontiers","source":"Frontiers","title":"Adaptation modulates effective connectivity and network stability","URL":"https://www.frontiersin.org/journals/computational-neuroscience/articles/10.3389/fncom.2026.1761735/full","volume":"20","author":[{"family":"Richner","given":"Thomas J."},{"family":"Dervinis","given":"Martynas"},{"family":"Lundstrom","given":"Brian Nils"}],"accessed":{"date-parts":[["2026",4,10]]},"issued":{"date-parts":[["2026",4,10]]}},"prefix":""}],"schema":"https://github.com/citation-style-language/schema/raw/master/csl-citation.json"} </w:instrText>
      </w:r>
      <w:r>
        <w:fldChar w:fldCharType="separate"/>
      </w:r>
      <w:r w:rsidR="0006095A">
        <w:rPr>
          <w:noProof/>
        </w:rPr>
        <w:t>(Lundstrom &amp; Richner, 2023; Richner et al., 2026)</w:t>
      </w:r>
      <w:r>
        <w:fldChar w:fldCharType="end"/>
      </w:r>
      <w:r>
        <w:t>.</w:t>
      </w:r>
    </w:p>
    <w:p w14:paraId="2CDC0443" w14:textId="77777777" w:rsidR="00207282" w:rsidRDefault="00000000">
      <w:pPr>
        <w:pStyle w:val="Heading2"/>
      </w:pPr>
      <w:bookmarkStart w:id="4" w:name="input-and-output"/>
      <w:bookmarkEnd w:id="3"/>
      <w:r>
        <w:t>Input and output</w:t>
      </w:r>
    </w:p>
    <w:p w14:paraId="0F9C5902" w14:textId="77777777" w:rsidR="00207282" w:rsidRDefault="00000000">
      <w:pPr>
        <w:pStyle w:val="FirstParagraph"/>
      </w:pPr>
      <w:r>
        <w:t>The input was mapped by a linear layer to 25% of the neurons, and the output was mapped from a non-overlapping 25% of neurons with another linear layer. A skip connection was included such that the recurrent network focuses on the derivative of the dynamics.</w:t>
      </w:r>
    </w:p>
    <w:p w14:paraId="7C0F4CF5" w14:textId="77777777" w:rsidR="00207282" w:rsidRDefault="00000000">
      <w:pPr>
        <w:pStyle w:val="Heading2"/>
      </w:pPr>
      <w:bookmarkStart w:id="5" w:name="training"/>
      <w:bookmarkEnd w:id="4"/>
      <w:r>
        <w:t>Training</w:t>
      </w:r>
    </w:p>
    <w:p w14:paraId="72084BC9" w14:textId="77777777" w:rsidR="00207282" w:rsidRDefault="00000000">
      <w:pPr>
        <w:pStyle w:val="FirstParagraph"/>
      </w:pPr>
      <w:r>
        <w:t xml:space="preserve">We implemented our networks in PyTorch. We trained each network with 5 random seeds. The network was trained to do one-step prediction using backpropagation through time looking back 2.5 seconds. The Adam optimizer was used with a fixed learning rate of </w:t>
      </w:r>
      <w:r>
        <w:lastRenderedPageBreak/>
        <w:t>0.0005 after a 3 epoch warm-up. The networks were trained for 100 epochs on an L4 GPU virtual machine.</w:t>
      </w:r>
    </w:p>
    <w:p w14:paraId="435056BB" w14:textId="77777777" w:rsidR="00207282" w:rsidRDefault="00000000">
      <w:pPr>
        <w:pStyle w:val="Heading2"/>
      </w:pPr>
      <w:bookmarkStart w:id="6" w:name="results"/>
      <w:bookmarkEnd w:id="5"/>
      <w:r>
        <w:t>Results</w:t>
      </w:r>
    </w:p>
    <w:p w14:paraId="7C1C0F62" w14:textId="77777777" w:rsidR="00207282" w:rsidRDefault="00000000">
      <w:pPr>
        <w:pStyle w:val="FirstParagraph"/>
      </w:pPr>
      <w:r>
        <w:t>The networks with multiple timescale adaptation learned to model the kinematics dataset at a faster rate than the networks without adaptation (Figure 1). After 100 epochs, the networks with adaptation reached a test loss of 0.0154 ± 0.0022 (mean ± s.d. across the five seeds), compared with 0.0214 ± 0.0018 without adaptation, a 1.4-fold difference. Adaptation produced the lower loss for every one of the five paired seeds (one-tailed Wilcoxon signed-rank test on the paired final test losses, W = 0, p = 0.031, n = 5 pairs; median difference 0.0058). Because all five differences share the same sign, this is the smallest p-value attainable with five pairs, so it reflects the consistency of the effect rather than its size.</w:t>
      </w:r>
    </w:p>
    <w:p w14:paraId="5B871F6E" w14:textId="77777777" w:rsidR="00207282" w:rsidRDefault="00000000">
      <w:pPr>
        <w:pStyle w:val="CaptionedFigure"/>
      </w:pPr>
      <w:bookmarkStart w:id="7" w:name="fig:adaptation"/>
      <w:r>
        <w:rPr>
          <w:noProof/>
        </w:rPr>
        <w:drawing>
          <wp:inline distT="0" distB="0" distL="0" distR="0" wp14:anchorId="12F2598A" wp14:editId="7661C07F">
            <wp:extent cx="5334000" cy="4081887"/>
            <wp:effectExtent l="0" t="0" r="0" b="0"/>
            <wp:docPr id="15" name="Picture" descr="Test loss versus training epoch for networks with multiple timescale adaptation (blue) and without adaptation (dark yellow). Thin lines show the five random seeds of each variant; thick lines with markers show the mean across seeds. Both axes are logarithmic, and epochs are numbered from one, so the leftmost point is the untrained network. The two variants sharing a given seed were built from the same random recurrent weight matrix, so the five comparisons are paired."/>
            <wp:cNvGraphicFramePr/>
            <a:graphic xmlns:a="http://schemas.openxmlformats.org/drawingml/2006/main">
              <a:graphicData uri="http://schemas.openxmlformats.org/drawingml/2006/picture">
                <pic:pic xmlns:pic="http://schemas.openxmlformats.org/drawingml/2006/picture">
                  <pic:nvPicPr>
                    <pic:cNvPr id="16" name="Picture" descr="adaptation_vs_no_adaptation_test_loss.png"/>
                    <pic:cNvPicPr>
                      <a:picLocks noChangeAspect="1" noChangeArrowheads="1"/>
                    </pic:cNvPicPr>
                  </pic:nvPicPr>
                  <pic:blipFill>
                    <a:blip r:embed="rId5"/>
                    <a:stretch>
                      <a:fillRect/>
                    </a:stretch>
                  </pic:blipFill>
                  <pic:spPr bwMode="auto">
                    <a:xfrm>
                      <a:off x="0" y="0"/>
                      <a:ext cx="5334000" cy="4081887"/>
                    </a:xfrm>
                    <a:prstGeom prst="rect">
                      <a:avLst/>
                    </a:prstGeom>
                    <a:noFill/>
                    <a:ln w="9525">
                      <a:noFill/>
                      <a:headEnd/>
                      <a:tailEnd/>
                    </a:ln>
                  </pic:spPr>
                </pic:pic>
              </a:graphicData>
            </a:graphic>
          </wp:inline>
        </w:drawing>
      </w:r>
    </w:p>
    <w:p w14:paraId="69CDB053" w14:textId="77777777" w:rsidR="00207282" w:rsidRPr="0006095A" w:rsidRDefault="00000000">
      <w:pPr>
        <w:pStyle w:val="ImageCaption"/>
        <w:rPr>
          <w:i w:val="0"/>
          <w:iCs/>
        </w:rPr>
      </w:pPr>
      <w:r w:rsidRPr="0006095A">
        <w:rPr>
          <w:i w:val="0"/>
          <w:iCs/>
        </w:rPr>
        <w:t>Figure 1. Test loss versus training epoch for networks with multiple timescale adaptation (blue) and without adaptation (dark yellow). Thin lines show the five random seeds of each variant; thick lines with markers show the mean across seeds. Both axes are logarithmic, and epochs are numbered from one, so the leftmost point is the untrained network. The two variants sharing a given seed were built from the same random recurrent weight matrix, so the five comparisons are paired.</w:t>
      </w:r>
    </w:p>
    <w:p w14:paraId="2F88AE33" w14:textId="77777777" w:rsidR="0006095A" w:rsidRDefault="0006095A">
      <w:pPr>
        <w:pStyle w:val="ImageCaption"/>
      </w:pPr>
    </w:p>
    <w:p w14:paraId="64767235" w14:textId="77777777" w:rsidR="0006095A" w:rsidRPr="0006095A" w:rsidRDefault="0006095A" w:rsidP="0006095A">
      <w:pPr>
        <w:pStyle w:val="Bibliography"/>
        <w:rPr>
          <w:rFonts w:ascii="Aptos"/>
        </w:rPr>
      </w:pPr>
      <w:r>
        <w:rPr>
          <w:i/>
          <w:iCs/>
        </w:rPr>
        <w:lastRenderedPageBreak/>
        <w:fldChar w:fldCharType="begin"/>
      </w:r>
      <w:r>
        <w:rPr>
          <w:i/>
          <w:iCs/>
        </w:rPr>
        <w:instrText xml:space="preserve"> ADDIN ZOTERO_BIBL {"uncited":[],"omitted":[],"custom":[]} CSL_BIBLIOGRAPHY </w:instrText>
      </w:r>
      <w:r>
        <w:rPr>
          <w:i/>
          <w:iCs/>
        </w:rPr>
        <w:fldChar w:fldCharType="separate"/>
      </w:r>
      <w:r w:rsidRPr="0006095A">
        <w:rPr>
          <w:rFonts w:ascii="Aptos"/>
        </w:rPr>
        <w:t xml:space="preserve">Lundstrom, B. N., &amp; Richner, T. J. (2023). Neural adaptation and fractional dynamics as a window to underlying neural excitability. </w:t>
      </w:r>
      <w:r w:rsidRPr="0006095A">
        <w:rPr>
          <w:rFonts w:ascii="Aptos"/>
          <w:i/>
          <w:iCs/>
        </w:rPr>
        <w:t>PLOS Computational Biology</w:t>
      </w:r>
      <w:r w:rsidRPr="0006095A">
        <w:rPr>
          <w:rFonts w:ascii="Aptos"/>
        </w:rPr>
        <w:t xml:space="preserve">, </w:t>
      </w:r>
      <w:r w:rsidRPr="0006095A">
        <w:rPr>
          <w:rFonts w:ascii="Aptos"/>
          <w:i/>
          <w:iCs/>
        </w:rPr>
        <w:t>19</w:t>
      </w:r>
      <w:r w:rsidRPr="0006095A">
        <w:rPr>
          <w:rFonts w:ascii="Aptos"/>
        </w:rPr>
        <w:t>(2), e1010527. https://doi.org/10.1371/journal.pcbi.1010527</w:t>
      </w:r>
    </w:p>
    <w:p w14:paraId="2F0838EA" w14:textId="77777777" w:rsidR="0006095A" w:rsidRPr="0006095A" w:rsidRDefault="0006095A" w:rsidP="0006095A">
      <w:pPr>
        <w:pStyle w:val="Bibliography"/>
        <w:rPr>
          <w:rFonts w:ascii="Aptos"/>
        </w:rPr>
      </w:pPr>
      <w:r w:rsidRPr="0006095A">
        <w:rPr>
          <w:rFonts w:ascii="Aptos"/>
        </w:rPr>
        <w:t xml:space="preserve">Richner, T. J., </w:t>
      </w:r>
      <w:proofErr w:type="spellStart"/>
      <w:r w:rsidRPr="0006095A">
        <w:rPr>
          <w:rFonts w:ascii="Aptos"/>
        </w:rPr>
        <w:t>Dervinis</w:t>
      </w:r>
      <w:proofErr w:type="spellEnd"/>
      <w:r w:rsidRPr="0006095A">
        <w:rPr>
          <w:rFonts w:ascii="Aptos"/>
        </w:rPr>
        <w:t xml:space="preserve">, M., &amp; Lundstrom, B. N. (2026). Adaptation modulates effective connectivity and network stability. </w:t>
      </w:r>
      <w:r w:rsidRPr="0006095A">
        <w:rPr>
          <w:rFonts w:ascii="Aptos"/>
          <w:i/>
          <w:iCs/>
        </w:rPr>
        <w:t>Frontiers in Computational Neuroscience</w:t>
      </w:r>
      <w:r w:rsidRPr="0006095A">
        <w:rPr>
          <w:rFonts w:ascii="Aptos"/>
        </w:rPr>
        <w:t xml:space="preserve">, </w:t>
      </w:r>
      <w:r w:rsidRPr="0006095A">
        <w:rPr>
          <w:rFonts w:ascii="Aptos"/>
          <w:i/>
          <w:iCs/>
        </w:rPr>
        <w:t>20</w:t>
      </w:r>
      <w:r w:rsidRPr="0006095A">
        <w:rPr>
          <w:rFonts w:ascii="Aptos"/>
        </w:rPr>
        <w:t>. https://doi.org/10.3389/fncom.2026.1761735</w:t>
      </w:r>
    </w:p>
    <w:p w14:paraId="697C44CB" w14:textId="77777777" w:rsidR="0006095A" w:rsidRPr="0006095A" w:rsidRDefault="0006095A" w:rsidP="0006095A">
      <w:pPr>
        <w:pStyle w:val="Bibliography"/>
        <w:rPr>
          <w:rFonts w:ascii="Aptos"/>
        </w:rPr>
      </w:pPr>
      <w:r w:rsidRPr="0006095A">
        <w:rPr>
          <w:rFonts w:ascii="Aptos"/>
        </w:rPr>
        <w:t xml:space="preserve">Towers, M., Kwiatkowski, A., Balis, J., De Cola, G., </w:t>
      </w:r>
      <w:proofErr w:type="spellStart"/>
      <w:r w:rsidRPr="0006095A">
        <w:rPr>
          <w:rFonts w:ascii="Aptos"/>
        </w:rPr>
        <w:t>Deleu</w:t>
      </w:r>
      <w:proofErr w:type="spellEnd"/>
      <w:r w:rsidRPr="0006095A">
        <w:rPr>
          <w:rFonts w:ascii="Aptos"/>
        </w:rPr>
        <w:t xml:space="preserve">, T., </w:t>
      </w:r>
      <w:proofErr w:type="spellStart"/>
      <w:r w:rsidRPr="0006095A">
        <w:rPr>
          <w:rFonts w:ascii="Aptos"/>
        </w:rPr>
        <w:t>Goulão</w:t>
      </w:r>
      <w:proofErr w:type="spellEnd"/>
      <w:r w:rsidRPr="0006095A">
        <w:rPr>
          <w:rFonts w:ascii="Aptos"/>
        </w:rPr>
        <w:t xml:space="preserve">, M., Andreas, K., Krimmel, M., Kg, A., Perez-Vicente, R., Terry, J., Pierré, A., Schulhoff, S., Tai, J. J., Tan, H., &amp; Younis, O. G. (2026). Gymnasium: A Standard Interface for Reinforcement Learning Environments. </w:t>
      </w:r>
      <w:r w:rsidRPr="0006095A">
        <w:rPr>
          <w:rFonts w:ascii="Aptos"/>
          <w:i/>
          <w:iCs/>
        </w:rPr>
        <w:t>Advances in Neural Information Processing Systems</w:t>
      </w:r>
      <w:r w:rsidRPr="0006095A">
        <w:rPr>
          <w:rFonts w:ascii="Aptos"/>
        </w:rPr>
        <w:t xml:space="preserve">, </w:t>
      </w:r>
      <w:r w:rsidRPr="0006095A">
        <w:rPr>
          <w:rFonts w:ascii="Aptos"/>
          <w:i/>
          <w:iCs/>
        </w:rPr>
        <w:t>38</w:t>
      </w:r>
      <w:r w:rsidRPr="0006095A">
        <w:rPr>
          <w:rFonts w:ascii="Aptos"/>
        </w:rPr>
        <w:t>. https://doi.org/10.52202/085713-4916</w:t>
      </w:r>
    </w:p>
    <w:p w14:paraId="5F680D24" w14:textId="77777777" w:rsidR="0006095A" w:rsidRPr="0006095A" w:rsidRDefault="0006095A" w:rsidP="0006095A">
      <w:pPr>
        <w:pStyle w:val="Bibliography"/>
        <w:rPr>
          <w:rFonts w:ascii="Aptos"/>
        </w:rPr>
      </w:pPr>
      <w:r w:rsidRPr="0006095A">
        <w:rPr>
          <w:rFonts w:ascii="Aptos"/>
        </w:rPr>
        <w:t xml:space="preserve">Wawrzyński, P. (2009). A Cat-Like Robot Real-Time Learning to Run. In M. Kolehmainen, P. Toivanen, &amp; B. </w:t>
      </w:r>
      <w:proofErr w:type="spellStart"/>
      <w:r w:rsidRPr="0006095A">
        <w:rPr>
          <w:rFonts w:ascii="Aptos"/>
        </w:rPr>
        <w:t>Beliczynski</w:t>
      </w:r>
      <w:proofErr w:type="spellEnd"/>
      <w:r w:rsidRPr="0006095A">
        <w:rPr>
          <w:rFonts w:ascii="Aptos"/>
        </w:rPr>
        <w:t xml:space="preserve"> (Eds.), </w:t>
      </w:r>
      <w:r w:rsidRPr="0006095A">
        <w:rPr>
          <w:rFonts w:ascii="Aptos"/>
          <w:i/>
          <w:iCs/>
        </w:rPr>
        <w:t>Adaptive and Natural Computing Algorithms</w:t>
      </w:r>
      <w:r w:rsidRPr="0006095A">
        <w:rPr>
          <w:rFonts w:ascii="Aptos"/>
        </w:rPr>
        <w:t xml:space="preserve"> (pp. 380–390). Springer. https://doi.org/10.1007/978-3-642-04921-7_39</w:t>
      </w:r>
    </w:p>
    <w:p w14:paraId="3827BEF8" w14:textId="35CCFF69" w:rsidR="0006095A" w:rsidRPr="0006095A" w:rsidRDefault="0006095A">
      <w:pPr>
        <w:pStyle w:val="ImageCaption"/>
        <w:rPr>
          <w:i w:val="0"/>
          <w:iCs/>
        </w:rPr>
      </w:pPr>
      <w:r>
        <w:rPr>
          <w:i w:val="0"/>
          <w:iCs/>
        </w:rPr>
        <w:fldChar w:fldCharType="end"/>
      </w:r>
      <w:bookmarkEnd w:id="0"/>
      <w:bookmarkEnd w:id="6"/>
      <w:bookmarkEnd w:id="7"/>
    </w:p>
    <w:sectPr w:rsidR="0006095A" w:rsidRPr="000609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C8CA0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24407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07282"/>
    <w:rsid w:val="0006095A"/>
    <w:rsid w:val="00207282"/>
    <w:rsid w:val="00F80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7BC8DF"/>
  <w15:docId w15:val="{33499036-E90D-0342-839C-F3F56D17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0" w:line="480" w:lineRule="auto"/>
      <w:ind w:left="720" w:hanging="72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2495</Words>
  <Characters>14222</Characters>
  <Application>Microsoft Office Word</Application>
  <DocSecurity>0</DocSecurity>
  <Lines>118</Lines>
  <Paragraphs>33</Paragraphs>
  <ScaleCrop>false</ScaleCrop>
  <Company/>
  <LinksUpToDate>false</LinksUpToDate>
  <CharactersWithSpaces>16684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Richner, Tom J., Ph.D.</cp:lastModifiedBy>
  <cp:revision>2</cp:revision>
  <dcterms:created xsi:type="dcterms:W3CDTF">2026-08-27T20:24:00Z</dcterms:created>
  <dcterms:modified xsi:type="dcterms:W3CDTF">2026-08-27T20:25:00Z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
    <vt:lpwstr/>
  </property>
  <property fmtid="{D5CDD505-2E9C-101B-9397-08002B2CF9AE}" pid="3" name="ZOTERO_PREF_1">
    <vt:lpwstr>&lt;data data-version="3" zotero-version="9.0.6"&gt;&lt;session id="CK1zrr3v"/&gt;&lt;style id="http://www.zotero.org/styles/apa" locale="en-US" hasBibliography="1" bibliographyStyleHasBeenSet="1"/&gt;&lt;prefs&gt;&lt;pref name="fieldType" value="Field"/&gt;&lt;/prefs&gt;&lt;/data&gt;</vt:lpwstr>
  </property>
</Properties>
</file>