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S&amp;P Technology Sector Equal Weight Index Methodology</w:t>
      </w:r>
    </w:p>
    <w:p>
      <w:pPr>
        <w:pStyle w:val="Heading2"/>
      </w:pPr>
      <w:r>
        <w:t>1. Index Overview</w:t>
      </w:r>
    </w:p>
    <w:p>
      <w:pPr/>
      <w:r>
        <w:br/>
        <w:t xml:space="preserve">The S&amp;P Technology Sector Equal Weight Index provides exposure to U.S. technology companies </w:t>
        <w:br/>
        <w:t xml:space="preserve">with equal weighting applied to all constituents. The index is rebalanced quarterly on the </w:t>
        <w:br/>
        <w:t>third Friday of March, June, September, and December.</w:t>
        <w:br/>
      </w:r>
    </w:p>
    <w:p>
      <w:pPr>
        <w:pStyle w:val="Heading2"/>
      </w:pPr>
      <w:r>
        <w:t>2. Constituent Selection</w:t>
      </w:r>
    </w:p>
    <w:p>
      <w:pPr/>
      <w:r>
        <w:br/>
        <w:t>Constituents are selected from the S&amp;P 500 Index and must meet the following criteria:</w:t>
        <w:br/>
        <w:t>- Market capitalization greater than $5 billion USD</w:t>
        <w:br/>
        <w:t>- Average daily trading volume greater than $10 million USD over the past 3 months</w:t>
        <w:br/>
        <w:t>- Classification in GICS Technology Sector (Code: 45)</w:t>
        <w:br/>
        <w:t>- Minimum 12 months of trading history</w:t>
        <w:br/>
      </w:r>
    </w:p>
    <w:p>
      <w:pPr>
        <w:pStyle w:val="Heading2"/>
      </w:pPr>
      <w:r>
        <w:t>3. Weighting Methodology</w:t>
      </w:r>
    </w:p>
    <w:p>
      <w:pPr/>
      <w:r>
        <w:br/>
        <w:t>All constituents receive equal weight at each rebalancing date. The equal weight is calculated as:</w:t>
        <w:br/>
        <w:br/>
        <w:t>Weight per constituent = 100% / Number of constituents</w:t>
        <w:br/>
        <w:br/>
        <w:t xml:space="preserve">As of the December 2024 rebalancing, there are 75 constituents, resulting in each constituent </w:t>
        <w:br/>
        <w:t>having a weight of 1.333%.</w:t>
        <w:br/>
      </w:r>
    </w:p>
    <w:p>
      <w:pPr>
        <w:pStyle w:val="Heading2"/>
      </w:pPr>
      <w:r>
        <w:t>4. Rebalancing Procedure</w:t>
      </w:r>
    </w:p>
    <w:p>
      <w:pPr/>
      <w:r>
        <w:br/>
        <w:t>The index is rebalanced quarterly according to the following schedule:</w:t>
        <w:br/>
        <w:t>- Effective Date: Third Friday of March, June, September, December</w:t>
        <w:br/>
        <w:t>- Reference Date: Close of business 5 NYSE trading days prior to effective date</w:t>
        <w:br/>
        <w:t>- Announcement Date: 10 NYSE trading days prior to effective date</w:t>
        <w:br/>
        <w:br/>
        <w:t>On the effective date at market close (16:00 America/New_York):</w:t>
        <w:br/>
        <w:t>1. Calculate current constituent weights</w:t>
        <w:br/>
        <w:t>2. Determine target equal weights (1/N for each constituent)</w:t>
        <w:br/>
        <w:t>3. Calculate required trades to reach target weights</w:t>
        <w:br/>
        <w:t>4. Execute rebalancing at closing prices</w:t>
        <w:br/>
      </w:r>
    </w:p>
    <w:p>
      <w:pPr>
        <w:pStyle w:val="Heading2"/>
      </w:pPr>
      <w:r>
        <w:t>5. Corporate Actions</w:t>
      </w:r>
    </w:p>
    <w:p>
      <w:pPr/>
      <w:r>
        <w:br/>
        <w:t>Corporate actions are handled as follows:</w:t>
        <w:br/>
        <w:br/>
        <w:t>Dividends: Dividends are reinvested on the ex-dividend date at the opening price.</w:t>
        <w:br/>
        <w:br/>
        <w:t xml:space="preserve">Stock Splits: Shares outstanding are adjusted on the ex-date. No weight adjustment required </w:t>
        <w:br/>
        <w:t>as market capitalization remains constant.</w:t>
        <w:br/>
        <w:br/>
        <w:t xml:space="preserve">Mergers and Acquisitions: </w:t>
        <w:br/>
        <w:t>- If acquirer is an index constituent: Combined entity weight equals sum of both constituents</w:t>
        <w:br/>
        <w:t>- If acquirer is not a constituent: Remove acquired company, redistribute weight pro-rata to remaining constituents</w:t>
        <w:br/>
        <w:t>- Effective on completion date as announced by the exchange</w:t>
        <w:br/>
        <w:br/>
        <w:t xml:space="preserve">Spin-offs: Parent company weight is split between parent and spin-off based on market </w:t>
        <w:br/>
        <w:t>capitalizations on the first trading day of the spin-off.</w:t>
        <w:br/>
      </w:r>
    </w:p>
    <w:p>
      <w:pPr>
        <w:pStyle w:val="Heading2"/>
      </w:pPr>
      <w:r>
        <w:t>6. Index Calculation</w:t>
      </w:r>
    </w:p>
    <w:p>
      <w:pPr/>
      <w:r>
        <w:br/>
        <w:t>The index level is calculated using the following formula:</w:t>
        <w:br/>
      </w:r>
    </w:p>
    <w:p>
      <w:pPr>
        <w:jc w:val="center"/>
      </w:pPr>
      <w:r>
        <w:rPr>
          <w:i/>
        </w:rPr>
        <w:t>Index Level = (Current Market Value / Base Market Value) × Base Level</w:t>
      </w:r>
    </w:p>
    <w:p>
      <w:pPr/>
      <w:r>
        <w:br/>
        <w:t>Where:</w:t>
        <w:br/>
        <w:t>- Current Market Value = Sum of (Price_i × Shares_i × Weight_i) for all constituents</w:t>
        <w:br/>
        <w:t>- Base Market Value = Market value at base date (January 1, 2020)</w:t>
        <w:br/>
        <w:t>- Base Level = 1000 (set at inception)</w:t>
        <w:br/>
        <w:t>- Price_i = Current price of constituent i in USD</w:t>
        <w:br/>
        <w:t>- Shares_i = Outstanding shares of constituent i</w:t>
        <w:br/>
        <w:t>- Weight_i = Current weight of constituent i</w:t>
        <w:br/>
      </w:r>
    </w:p>
    <w:p>
      <w:pPr>
        <w:pStyle w:val="Heading2"/>
      </w:pPr>
      <w:r>
        <w:t>7. Data Sources</w:t>
      </w:r>
    </w:p>
    <w:p>
      <w:pPr/>
      <w:r>
        <w:br/>
        <w:t>- Price Data: NYSE TAQ (Trade and Quote) database, end-of-day closing prices</w:t>
        <w:br/>
        <w:t>- Market Capitalization: S&amp;P Capital IQ, updated daily</w:t>
        <w:br/>
        <w:t>- Corporate Actions: Bloomberg Corporate Actions Feed, verified against exchange announcements</w:t>
        <w:br/>
        <w:t>- Trading Volume: NYSE TAQ, calculated as 90-day average daily dollar volume</w:t>
        <w:br/>
        <w:t>- GICS Classifications: MSCI/S&amp;P Global Industry Classification Standard, updated quarterly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