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Emerging Markets Dividend Growth Strategy</w:t>
      </w:r>
    </w:p>
    <w:p>
      <w:pPr>
        <w:pStyle w:val="Heading2"/>
      </w:pPr>
      <w:r>
        <w:t>1. Strategy Overview</w:t>
      </w:r>
    </w:p>
    <w:p>
      <w:pPr/>
      <w:r>
        <w:br/>
        <w:t xml:space="preserve">This strategy invests in emerging market equities with consistent dividend growth. </w:t>
        <w:br/>
        <w:t>The portfolio is constructed using a proprietary scoring model detailed in Appendix A.</w:t>
        <w:br/>
      </w:r>
    </w:p>
    <w:p>
      <w:pPr>
        <w:pStyle w:val="Heading2"/>
      </w:pPr>
      <w:r>
        <w:t>2. Universe Definition</w:t>
      </w:r>
    </w:p>
    <w:p>
      <w:pPr/>
      <w:r>
        <w:br/>
        <w:t>The investment universe consists of companies that meet the following criteria:</w:t>
        <w:br/>
        <w:t>- Listed on exchanges in emerging market countries (see Appendix B for country list)</w:t>
        <w:br/>
        <w:t>- Market capitalization above $500 million</w:t>
        <w:br/>
        <w:t>- Minimum 5-year dividend payment history</w:t>
        <w:br/>
        <w:t>- Dividend growth rate greater than inflation rate</w:t>
        <w:br/>
      </w:r>
    </w:p>
    <w:p>
      <w:pPr>
        <w:pStyle w:val="Heading2"/>
      </w:pPr>
      <w:r>
        <w:t>3. Portfolio Construction</w:t>
      </w:r>
    </w:p>
    <w:p>
      <w:pPr/>
      <w:r>
        <w:br/>
        <w:t>Stocks are scored based on:</w:t>
        <w:br/>
        <w:t>- Dividend yield (40% weight)</w:t>
        <w:br/>
        <w:t>- Dividend growth rate (30% weight)</w:t>
        <w:br/>
        <w:t>- Payout ratio sustainability (30% weight)</w:t>
        <w:br/>
        <w:br/>
        <w:t xml:space="preserve">The top 50 stocks by composite score are selected for the portfolio. </w:t>
        <w:br/>
        <w:t>Detailed scoring methodology is provided in Appendix C.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