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 Volatility Equity Portfolio Strategy</w:t>
      </w:r>
    </w:p>
    <w:p>
      <w:pPr>
        <w:pStyle w:val="Heading2"/>
      </w:pPr>
      <w:r>
        <w:t>1. Objective</w:t>
      </w:r>
    </w:p>
    <w:p>
      <w:pPr/>
      <w:r>
        <w:br/>
        <w:t xml:space="preserve">Construct a portfolio of low-volatility equities that outperforms the benchmark </w:t>
        <w:br/>
        <w:t>with significantly lower risk.</w:t>
        <w:br/>
      </w:r>
    </w:p>
    <w:p>
      <w:pPr>
        <w:pStyle w:val="Heading2"/>
      </w:pPr>
      <w:r>
        <w:t>2. Stock Selection</w:t>
      </w:r>
    </w:p>
    <w:p>
      <w:pPr/>
      <w:r>
        <w:br/>
        <w:t>Select stocks from the investment universe where:</w:t>
        <w:br/>
        <w:t>- Volatility is below the threshold</w:t>
        <w:br/>
        <w:t>- Beta is less than the maximum allowed</w:t>
        <w:br/>
        <w:t>- Liquidity exceeds the minimum requirement</w:t>
        <w:br/>
        <w:t>- Market cap is above the cutoff</w:t>
        <w:br/>
      </w:r>
    </w:p>
    <w:p>
      <w:pPr>
        <w:pStyle w:val="Heading2"/>
      </w:pPr>
      <w:r>
        <w:t>3. Position Sizing</w:t>
      </w:r>
    </w:p>
    <w:p>
      <w:pPr/>
      <w:r>
        <w:br/>
        <w:t xml:space="preserve">Each position is weighted based on its inverse volatility. Maximum position size </w:t>
        <w:br/>
        <w:t xml:space="preserve">is capped to prevent concentration. Minimum position size is enforced to maintain </w:t>
        <w:br/>
        <w:t>meaningful exposure.</w:t>
        <w:br/>
      </w:r>
    </w:p>
    <w:p>
      <w:pPr>
        <w:pStyle w:val="Heading2"/>
      </w:pPr>
      <w:r>
        <w:t>4. Rebalancing</w:t>
      </w:r>
    </w:p>
    <w:p>
      <w:pPr/>
      <w:r>
        <w:br/>
        <w:t xml:space="preserve">The portfolio is rebalanced when drift exceeds the tolerance threshold or at </w:t>
        <w:br/>
        <w:t xml:space="preserve">regular intervals, whichever comes first. Transaction costs are considered, </w:t>
        <w:br/>
        <w:t>and rebalancing only occurs if expected benefit exceeds the cost.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