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Multi-Asset Tactical Allocation Strategy</w:t>
      </w:r>
    </w:p>
    <w:p>
      <w:pPr>
        <w:pStyle w:val="Heading2"/>
      </w:pPr>
      <w:r>
        <w:t>1. Rebalancing Schedule</w:t>
      </w:r>
    </w:p>
    <w:p>
      <w:pPr/>
      <w:r>
        <w:br/>
        <w:t xml:space="preserve">The portfolio is rebalanced monthly, on the last day of each month. </w:t>
        <w:br/>
        <w:t>If the month-end falls on a non-trading day, rebalancing occurs on the next available day.</w:t>
        <w:br/>
      </w:r>
    </w:p>
    <w:p>
      <w:pPr>
        <w:pStyle w:val="Heading2"/>
      </w:pPr>
      <w:r>
        <w:t>2. Momentum Calculation</w:t>
      </w:r>
    </w:p>
    <w:p>
      <w:pPr/>
      <w:r>
        <w:br/>
        <w:t xml:space="preserve">Asset momentum is calculated using returns over the previous 60 days. </w:t>
        <w:br/>
        <w:t>For each asset, calculate:</w:t>
        <w:br/>
        <w:t>- 1-month return</w:t>
        <w:br/>
        <w:t xml:space="preserve">- 3-month return  </w:t>
        <w:br/>
        <w:t>- 6-month return</w:t>
        <w:br/>
        <w:br/>
        <w:t>Composite momentum is the average of these three periods.</w:t>
        <w:br/>
      </w:r>
    </w:p>
    <w:p>
      <w:pPr>
        <w:pStyle w:val="Heading2"/>
      </w:pPr>
      <w:r>
        <w:t>3. Correlation Matrix</w:t>
      </w:r>
    </w:p>
    <w:p>
      <w:pPr/>
      <w:r>
        <w:br/>
        <w:t xml:space="preserve">A correlation matrix is computed using the past 90 days of daily returns for all assets. </w:t>
        <w:br/>
        <w:t>This matrix is used to optimize portfolio allocation.</w:t>
        <w:br/>
      </w:r>
    </w:p>
    <w:p>
      <w:pPr>
        <w:pStyle w:val="Heading2"/>
      </w:pPr>
      <w:r>
        <w:t>4. Cross-Asset Analysis</w:t>
      </w:r>
    </w:p>
    <w:p>
      <w:pPr/>
      <w:r>
        <w:br/>
        <w:t xml:space="preserve">When analyzing correlations between US equities and Japanese bonds, align the data using </w:t>
        <w:br/>
        <w:t>common trading days to ensure proper comparison.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