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Spread Trading Strategy</w:t>
      </w:r>
    </w:p>
    <w:p>
      <w:pPr>
        <w:pStyle w:val="Heading2"/>
      </w:pPr>
      <w:r>
        <w:t>1. Strategy Overview</w:t>
      </w:r>
    </w:p>
    <w:p>
      <w:pPr/>
      <w:r>
        <w:br/>
        <w:t>This strategy trades corporate bonds based on credit spread movements relative to benchmarks.</w:t>
        <w:br/>
      </w:r>
    </w:p>
    <w:p>
      <w:pPr>
        <w:pStyle w:val="Heading2"/>
      </w:pPr>
      <w:r>
        <w:t>2. Data Requirements</w:t>
      </w:r>
    </w:p>
    <w:p>
      <w:pPr/>
      <w:r>
        <w:br/>
        <w:t>The strategy requires:</w:t>
        <w:br/>
        <w:t>- Corporate bond yields from the pricing vendor</w:t>
        <w:br/>
        <w:t>- Treasury yields from the data provider</w:t>
        <w:br/>
        <w:t>- Credit ratings from the rating agency</w:t>
        <w:br/>
        <w:t>- Default probabilities from the risk model</w:t>
        <w:br/>
        <w:t>- Liquidity metrics from the analytics platform</w:t>
        <w:br/>
      </w:r>
    </w:p>
    <w:p>
      <w:pPr>
        <w:pStyle w:val="Heading2"/>
      </w:pPr>
      <w:r>
        <w:t>3. Signal Generation</w:t>
      </w:r>
    </w:p>
    <w:p>
      <w:pPr/>
      <w:r>
        <w:br/>
        <w:t>Buy signals are generated when:</w:t>
        <w:br/>
        <w:t>- Credit spread exceeds historical average by 2 standard deviations</w:t>
        <w:br/>
        <w:t>- Credit rating is investment grade</w:t>
        <w:br/>
        <w:t>- Bond has sufficient liquidity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