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Quantitative Equity Long-Short Strategy</w:t>
      </w:r>
    </w:p>
    <w:p>
      <w:pPr>
        <w:pStyle w:val="Heading2"/>
      </w:pPr>
      <w:r>
        <w:t>1. Strategy Description</w:t>
      </w:r>
    </w:p>
    <w:p>
      <w:pPr/>
      <w:r>
        <w:br/>
        <w:t>This long-short equity strategy identifies mispriced securities using quantitative models.</w:t>
        <w:br/>
        <w:t>The portfolio maintains market neutrality with equal long and short exposures.</w:t>
        <w:br/>
      </w:r>
    </w:p>
    <w:p>
      <w:pPr>
        <w:pStyle w:val="Heading2"/>
      </w:pPr>
      <w:r>
        <w:t>2. Portfolio Construction</w:t>
      </w:r>
    </w:p>
    <w:p>
      <w:pPr/>
      <w:r>
        <w:br/>
        <w:t>Top 50 stocks by model score are held long. Bottom 50 stocks are sold short.</w:t>
        <w:br/>
        <w:t>Position sizes are equal weighted within each leg.</w:t>
        <w:br/>
      </w:r>
    </w:p>
    <w:p>
      <w:pPr>
        <w:pStyle w:val="Heading2"/>
      </w:pPr>
      <w:r>
        <w:t>3. Risk Management</w:t>
      </w:r>
    </w:p>
    <w:p>
      <w:pPr/>
      <w:r>
        <w:br/>
        <w:t>Portfolio beta is monitored daily. Leverage is adjusted if volatility exceeds thresholds.</w:t>
        <w:br/>
        <w:t>Stop losses are in place for individual positions showing unexpected losses.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