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Quality Dividend Growth Index</w:t>
      </w:r>
    </w:p>
    <w:p>
      <w:pPr>
        <w:pStyle w:val="Heading2"/>
      </w:pPr>
      <w:r>
        <w:t>1. Selection Criteria</w:t>
      </w:r>
    </w:p>
    <w:p>
      <w:pPr/>
      <w:r>
        <w:br/>
        <w:t>Constituents must have:</w:t>
        <w:br/>
        <w:t>- Minimum 10 years of consecutive dividend payments</w:t>
        <w:br/>
        <w:t>- Dividend yield between 2% and 6%</w:t>
        <w:br/>
        <w:t>- Payout ratio below 70%</w:t>
        <w:br/>
      </w:r>
    </w:p>
    <w:p>
      <w:pPr>
        <w:pStyle w:val="Heading2"/>
      </w:pPr>
      <w:r>
        <w:t>2. Eligibility Requirements</w:t>
      </w:r>
    </w:p>
    <w:p>
      <w:pPr/>
      <w:r>
        <w:br/>
        <w:t>To be eligible for inclusion:</w:t>
        <w:br/>
        <w:t>- Company must have paid dividends for at least 5 consecutive years</w:t>
        <w:br/>
        <w:t>- Current dividend yield must be at least 3%</w:t>
        <w:br/>
        <w:t>- Payout ratio must not exceed 60%</w:t>
        <w:br/>
      </w:r>
    </w:p>
    <w:p>
      <w:pPr>
        <w:pStyle w:val="Heading2"/>
      </w:pPr>
      <w:r>
        <w:t>3. Rebalancing</w:t>
      </w:r>
    </w:p>
    <w:p>
      <w:pPr/>
      <w:r>
        <w:br/>
        <w:t xml:space="preserve">The index is rebalanced semi-annually in June and December. </w:t>
        <w:br/>
        <w:t>Constituents are reviewed quarterly to ensure ongoing compliance.</w:t>
        <w:br/>
      </w:r>
    </w:p>
    <w:p>
      <w:pPr>
        <w:pStyle w:val="Heading2"/>
      </w:pPr>
      <w:r>
        <w:t>4. Weighting</w:t>
      </w:r>
    </w:p>
    <w:p>
      <w:pPr/>
      <w:r>
        <w:br/>
        <w:t>Constituents are weighted by dividend yield, with a maximum weight of 5% per constituent.</w:t>
        <w:br/>
        <w:t>The index uses equal weighting to ensure diversification.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