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ESG Enhanced Index Strategy</w:t>
      </w:r>
    </w:p>
    <w:p>
      <w:pPr>
        <w:pStyle w:val="Heading2"/>
      </w:pPr>
      <w:r>
        <w:t>1. ESG Scoring</w:t>
      </w:r>
    </w:p>
    <w:p>
      <w:pPr/>
      <w:r>
        <w:br/>
        <w:t>Companies are scored on Environmental, Social, and Governance factors.</w:t>
        <w:br/>
        <w:t>Higher scores indicate better ESG performance. Scores are updated periodically</w:t>
        <w:br/>
        <w:t>based on latest available information.</w:t>
        <w:br/>
      </w:r>
    </w:p>
    <w:p>
      <w:pPr>
        <w:pStyle w:val="Heading2"/>
      </w:pPr>
      <w:r>
        <w:t>2. Index Construction</w:t>
      </w:r>
    </w:p>
    <w:p>
      <w:pPr/>
      <w:r>
        <w:br/>
        <w:t>Select companies with strong ESG scores from the parent index. Exclude companies</w:t>
        <w:br/>
        <w:t>involved in controversial activities. Tilt portfolio weights toward high ESG scorers</w:t>
        <w:br/>
        <w:t>while maintaining reasonable tracking error to the benchmark.</w:t>
        <w:br/>
      </w:r>
    </w:p>
    <w:p>
      <w:pPr>
        <w:pStyle w:val="Heading2"/>
      </w:pPr>
      <w:r>
        <w:t>3. Exclusions</w:t>
      </w:r>
    </w:p>
    <w:p>
      <w:pPr/>
      <w:r>
        <w:br/>
        <w:t>Companies are excluded if they:</w:t>
        <w:br/>
        <w:t>- Are involved in controversial weapons</w:t>
        <w:br/>
        <w:t>- Have significant fossil fuel exposure</w:t>
        <w:br/>
        <w:t>- Face major ESG controversies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