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Leveraged Growth Stock Strategy</w:t>
      </w:r>
    </w:p>
    <w:p>
      <w:pPr>
        <w:pStyle w:val="Heading2"/>
      </w:pPr>
      <w:r>
        <w:t>1. Investment Approach</w:t>
      </w:r>
    </w:p>
    <w:p>
      <w:pPr/>
      <w:r>
        <w:br/>
        <w:t>This strategy invests in high-growth technology and biotechnology stocks using</w:t>
        <w:br/>
        <w:t>leverage to amplify returns. Target leverage is 1.5x net asset value.</w:t>
        <w:br/>
      </w:r>
    </w:p>
    <w:p>
      <w:pPr>
        <w:pStyle w:val="Heading2"/>
      </w:pPr>
      <w:r>
        <w:t>2. Portfolio Composition</w:t>
      </w:r>
    </w:p>
    <w:p>
      <w:pPr/>
      <w:r>
        <w:br/>
        <w:t>- 70% technology stocks</w:t>
        <w:br/>
        <w:t>- 30% biotechnology stocks</w:t>
        <w:br/>
        <w:t>- Concentrated positions in top 20 holdings</w:t>
        <w:br/>
        <w:t>- Average holding period of 6-12 months</w:t>
        <w:br/>
      </w:r>
    </w:p>
    <w:p>
      <w:pPr>
        <w:pStyle w:val="Heading2"/>
      </w:pPr>
      <w:r>
        <w:t>3. Performance Target</w:t>
      </w:r>
    </w:p>
    <w:p>
      <w:pPr/>
      <w:r>
        <w:br/>
        <w:t>Target annual return of 25-30% over market cycle. Strategy aims to outperform</w:t>
        <w:br/>
        <w:t>NASDAQ Composite by 500-700 basis points annually.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