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Russell 2000 Equal Weight Index - Methodology Document</w:t>
      </w:r>
    </w:p>
    <w:p>
      <w:pPr>
        <w:pStyle w:val="Heading2"/>
      </w:pPr>
      <w:r>
        <w:t>1. Index Overview</w:t>
      </w:r>
    </w:p>
    <w:p>
      <w:pPr/>
      <w:r>
        <w:br/>
        <w:t xml:space="preserve">The Russell 2000 Equal Weight Index provides equal-weighted exposure to the 2000 smallest </w:t>
        <w:br/>
        <w:t xml:space="preserve">companies in the Russell 3000 Index, as defined by FTSE Russell. Each constituent receives </w:t>
        <w:br/>
        <w:t>a weight of 0.05% (1/2000) at each quarterly rebalancing.</w:t>
        <w:br/>
      </w:r>
    </w:p>
    <w:p>
      <w:pPr>
        <w:pStyle w:val="Heading2"/>
      </w:pPr>
      <w:r>
        <w:t>2. Eligibility Criteria</w:t>
      </w:r>
    </w:p>
    <w:p>
      <w:pPr/>
      <w:r>
        <w:br/>
        <w:t>Constituents must:</w:t>
        <w:br/>
        <w:t>- Be included in the Russell 3000 Index as of the most recent Russell Reconstitution (last Friday in June)</w:t>
        <w:br/>
        <w:t>- Have minimum average daily trading volume of $1,000,000 over the past 3 months</w:t>
        <w:br/>
        <w:t>- Have minimum market capitalization of $200 million as measured on the reconstitution date</w:t>
        <w:br/>
        <w:t>- Be incorporated and headquartered in the United States</w:t>
        <w:br/>
        <w:t>- Trade on NYSE, NASDAQ, or NYSE American exchanges</w:t>
        <w:br/>
      </w:r>
    </w:p>
    <w:p>
      <w:pPr>
        <w:pStyle w:val="Heading2"/>
      </w:pPr>
      <w:r>
        <w:t>3. Data Sources</w:t>
      </w:r>
    </w:p>
    <w:p>
      <w:pPr/>
      <w:r>
        <w:br/>
        <w:t>- Index constituent list: FTSE Russell Index Data Feed, updated daily</w:t>
        <w:br/>
        <w:t>- Pricing data: FTSE Russell Official Closing Prices, 16:00 ET</w:t>
        <w:br/>
        <w:t>- Corporate actions: FTSE Russell Corporate Actions Data Feed, real-time</w:t>
        <w:br/>
        <w:t>- Trading volume: Consolidated Tape, sourced from FTSE Russell</w:t>
        <w:br/>
      </w:r>
    </w:p>
    <w:p>
      <w:pPr>
        <w:pStyle w:val="Heading2"/>
      </w:pPr>
      <w:r>
        <w:t>4. Rebalancing</w:t>
      </w:r>
    </w:p>
    <w:p>
      <w:pPr/>
      <w:r>
        <w:br/>
        <w:t>Quarterly rebalancing on third Friday of March, June, September, and December.</w:t>
        <w:br/>
        <w:t xml:space="preserve">Weights reset to equal weight (0.05% per constituent) using closing prices from the </w:t>
        <w:br/>
        <w:t>rebalancing date. Changes effective on market open the following Monday.</w:t>
        <w:br/>
      </w:r>
    </w:p>
    <w:p>
      <w:pPr>
        <w:pStyle w:val="Heading2"/>
      </w:pPr>
      <w:r>
        <w:t>5. Risk Disclosures</w:t>
      </w:r>
    </w:p>
    <w:p>
      <w:pPr/>
      <w:r>
        <w:br/>
        <w:t xml:space="preserve">Small-cap concentration risk: 100% exposure to small-capitalization stocks which historically </w:t>
        <w:br/>
        <w:t xml:space="preserve">exhibit higher volatility than large-caps. Equal weighting may result in tracking error vs </w:t>
        <w:br/>
        <w:t>market-cap weighted indices. Quarterly rebalancing generates transaction costs.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