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Emerging Markets Local Currency Bond Strategy</w:t>
      </w:r>
    </w:p>
    <w:p>
      <w:pPr>
        <w:pStyle w:val="Heading2"/>
      </w:pPr>
      <w:r>
        <w:t>1. Universe</w:t>
      </w:r>
    </w:p>
    <w:p>
      <w:pPr/>
      <w:r>
        <w:br/>
        <w:t>Invest in government bonds from emerging market countries, denominated in local currencies.</w:t>
        <w:br/>
      </w:r>
    </w:p>
    <w:p>
      <w:pPr>
        <w:pStyle w:val="Heading2"/>
      </w:pPr>
      <w:r>
        <w:t>2. Country Selection</w:t>
      </w:r>
    </w:p>
    <w:p>
      <w:pPr/>
      <w:r>
        <w:br/>
        <w:t>Include countries from the emerging markets list with minimum credit rating and sufficient market depth.</w:t>
        <w:br/>
      </w:r>
    </w:p>
    <w:p>
      <w:pPr>
        <w:pStyle w:val="Heading2"/>
      </w:pPr>
      <w:r>
        <w:t>3. Bond Selection</w:t>
      </w:r>
    </w:p>
    <w:p>
      <w:pPr/>
      <w:r>
        <w:br/>
        <w:t>Select bonds with maturity between 5 and 15 years.</w:t>
        <w:br/>
        <w:t>Prices obtained from pricing service.</w:t>
        <w:br/>
        <w:t>Yields calculated using standard methodology.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