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Macro Tactical Asset Allocation Model</w:t>
      </w:r>
    </w:p>
    <w:p>
      <w:pPr>
        <w:pStyle w:val="Heading2"/>
      </w:pPr>
      <w:r>
        <w:t>1. Asset Classes</w:t>
      </w:r>
    </w:p>
    <w:p>
      <w:pPr/>
      <w:r>
        <w:br/>
        <w:t>Allocate across equities, bonds, commodities, and alternatives based on macro signals.</w:t>
        <w:br/>
      </w:r>
    </w:p>
    <w:p>
      <w:pPr>
        <w:pStyle w:val="Heading2"/>
      </w:pPr>
      <w:r>
        <w:t>2. Signal Generation</w:t>
      </w:r>
    </w:p>
    <w:p>
      <w:pPr/>
      <w:r>
        <w:br/>
        <w:t>Signals derived from economic indicators, technical analysis, and sentiment measures.</w:t>
        <w:br/>
        <w:t>Weight changes when signals reach significant levels.</w:t>
        <w:br/>
      </w:r>
    </w:p>
    <w:p>
      <w:pPr>
        <w:pStyle w:val="Heading2"/>
      </w:pPr>
      <w:r>
        <w:t>3. Implementation</w:t>
      </w:r>
    </w:p>
    <w:p>
      <w:pPr/>
      <w:r>
        <w:br/>
        <w:t>Rebalance periodically. Use derivatives where appropriate for efficiency.</w:t>
        <w:br/>
        <w:t>Consult external manager for complex trades.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