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Asia-Pacific Multi-Market Strategy</w:t>
      </w:r>
    </w:p>
    <w:p>
      <w:pPr>
        <w:pStyle w:val="Heading2"/>
      </w:pPr>
      <w:r>
        <w:t>1. Markets Covered</w:t>
      </w:r>
    </w:p>
    <w:p>
      <w:pPr/>
      <w:r>
        <w:br/>
        <w:t>Strategy trades equities across Tokyo, Hong Kong, Sydney, Singapore, and Mumbai markets.</w:t>
        <w:br/>
      </w:r>
    </w:p>
    <w:p>
      <w:pPr>
        <w:pStyle w:val="Heading2"/>
      </w:pPr>
      <w:r>
        <w:t>2. Trading Schedule</w:t>
      </w:r>
    </w:p>
    <w:p>
      <w:pPr/>
      <w:r>
        <w:br/>
        <w:t>Signals calculated at end of each trading day for each market.</w:t>
        <w:br/>
        <w:t>Orders placed at market open the next day. Positions held until signals reverse.</w:t>
        <w:br/>
      </w:r>
    </w:p>
    <w:p>
      <w:pPr>
        <w:pStyle w:val="Heading2"/>
      </w:pPr>
      <w:r>
        <w:t>3. Rebalancing</w:t>
      </w:r>
    </w:p>
    <w:p>
      <w:pPr/>
      <w:r>
        <w:br/>
        <w:t>Monthly rebalancing on the last Friday of each month. All markets rebalanced simultaneously.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