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U.S. Dividend Aristocrats Index</w:t>
      </w:r>
    </w:p>
    <w:p>
      <w:pPr>
        <w:pStyle w:val="Heading2"/>
      </w:pPr>
      <w:r>
        <w:t>1. Eligibility</w:t>
      </w:r>
    </w:p>
    <w:p>
      <w:pPr/>
      <w:r>
        <w:br/>
        <w:t>S&amp;P 500 companies that have increased dividends for at least 25 consecutive years.</w:t>
        <w:br/>
      </w:r>
    </w:p>
    <w:p>
      <w:pPr>
        <w:pStyle w:val="Heading2"/>
      </w:pPr>
      <w:r>
        <w:t>2. Weighting</w:t>
      </w:r>
    </w:p>
    <w:p>
      <w:pPr/>
      <w:r>
        <w:br/>
        <w:t>Constituents weighted by dividend yield with adjustments for company size.</w:t>
        <w:br/>
        <w:t>Maximum single constituent weight capped.</w:t>
        <w:br/>
      </w:r>
    </w:p>
    <w:p>
      <w:pPr>
        <w:pStyle w:val="Heading2"/>
      </w:pPr>
      <w:r>
        <w:t>3. Maintenance</w:t>
      </w:r>
    </w:p>
    <w:p>
      <w:pPr/>
      <w:r>
        <w:br/>
        <w:t>Reviewed annually. Companies removed if they cut or suspend dividends.</w:t>
        <w:br/>
        <w:t>Additions occur at the annual reconstitution.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