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Covered Call Writing Strategy</w:t>
      </w:r>
    </w:p>
    <w:p>
      <w:pPr>
        <w:pStyle w:val="Heading2"/>
      </w:pPr>
      <w:r>
        <w:t>1. Strategy</w:t>
      </w:r>
    </w:p>
    <w:p>
      <w:pPr/>
      <w:r>
        <w:br/>
        <w:t>Buy underlying stocks and sell call options against positions.</w:t>
        <w:br/>
        <w:t>Roll options at expiration if necessary.</w:t>
        <w:br/>
      </w:r>
    </w:p>
    <w:p>
      <w:pPr>
        <w:pStyle w:val="Heading2"/>
      </w:pPr>
      <w:r>
        <w:t>2. Strike Selection</w:t>
      </w:r>
    </w:p>
    <w:p>
      <w:pPr/>
      <w:r>
        <w:br/>
        <w:t>Sell calls at strike price above current stock price. Use standard option expiration dates.</w:t>
        <w:br/>
      </w:r>
    </w:p>
    <w:p>
      <w:pPr>
        <w:pStyle w:val="Heading2"/>
      </w:pPr>
      <w:r>
        <w:t>3. Position Management</w:t>
      </w:r>
    </w:p>
    <w:p>
      <w:pPr/>
      <w:r>
        <w:br/>
        <w:t>Close positions if called away. Replace with new positions.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