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Bloomberg Barclays U.S. Aggregate Bond Index Replication</w:t>
      </w:r>
    </w:p>
    <w:p>
      <w:pPr>
        <w:pStyle w:val="Heading2"/>
      </w:pPr>
      <w:r>
        <w:t>1. Objective</w:t>
      </w:r>
    </w:p>
    <w:p>
      <w:pPr/>
      <w:r>
        <w:br/>
        <w:t>Replicate the Bloomberg Barclays U.S. Aggregate Bond Index using sampling methodology.</w:t>
        <w:br/>
        <w:t>Index data from Bloomberg Index Services Limited, updated daily at 17:00 ET.</w:t>
        <w:br/>
      </w:r>
    </w:p>
    <w:p>
      <w:pPr>
        <w:pStyle w:val="Heading2"/>
      </w:pPr>
      <w:r>
        <w:t>2. Sampling Method</w:t>
      </w:r>
    </w:p>
    <w:p>
      <w:pPr/>
      <w:r>
        <w:br/>
        <w:t>Select representative sample of 300-400 bonds from index constituents.</w:t>
        <w:br/>
        <w:t>Maintain sector, duration, and quality weights within ±0.5% of benchmark.</w:t>
        <w:br/>
        <w:t>Rebalance monthly using prices as of last business day of month.</w:t>
        <w:br/>
      </w:r>
    </w:p>
    <w:p>
      <w:pPr>
        <w:pStyle w:val="Heading2"/>
      </w:pPr>
      <w:r>
        <w:t>3. Performance Monitoring</w:t>
      </w:r>
    </w:p>
    <w:p>
      <w:pPr/>
      <w:r>
        <w:br/>
        <w:t>Track tracking error daily. Target tracking error below 15 basis points annualized.</w:t>
        <w:br/>
        <w:t>Review bond selection quarterly to ensure continued representativeness.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