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5E347" w14:textId="5C93CA8B" w:rsidR="009A5F83" w:rsidRDefault="008B021D" w:rsidP="008B021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Ledoux criterion</w:t>
      </w:r>
    </w:p>
    <w:p w14:paraId="2CCE2E15" w14:textId="59339A8A" w:rsidR="008B021D" w:rsidRDefault="008B021D" w:rsidP="008B021D">
      <w:pPr>
        <w:pStyle w:val="ListParagraph"/>
        <w:numPr>
          <w:ilvl w:val="0"/>
          <w:numId w:val="1"/>
        </w:numPr>
      </w:pPr>
      <w:r>
        <w:t>For gaseous, non-rotating single stars, without strong magnetic fields, the only forces acting on a mass element are from pressure and gravity, which results in a spherically symmetrical configuration.</w:t>
      </w:r>
    </w:p>
    <w:p w14:paraId="2BBC8849" w14:textId="0ECE910B" w:rsidR="008B021D" w:rsidRPr="00315DCE" w:rsidRDefault="008B021D" w:rsidP="008B021D">
      <w:pPr>
        <w:pStyle w:val="ListParagraph"/>
        <w:numPr>
          <w:ilvl w:val="0"/>
          <w:numId w:val="1"/>
        </w:numPr>
      </w:pPr>
      <w:r>
        <w:t xml:space="preserve">Density then becomes </w:t>
      </w:r>
      <m:oMath>
        <m:r>
          <w:rPr>
            <w:rFonts w:ascii="Cambria Math" w:hAnsi="Cambria Math"/>
          </w:rPr>
          <m:t>ρ=ρ(r, t)</m:t>
        </m:r>
      </m:oMath>
      <w:r>
        <w:rPr>
          <w:rFonts w:eastAsiaTheme="minorEastAsia"/>
        </w:rPr>
        <w:t xml:space="preserve"> where r and t are independent variables</w:t>
      </w:r>
    </w:p>
    <w:p w14:paraId="259F1F33" w14:textId="2FA2CB17" w:rsidR="00315DCE" w:rsidRPr="00315DCE" w:rsidRDefault="00315DCE" w:rsidP="008B021D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As the star (masses of 15 and 20 M</w:t>
      </w:r>
      <w:r>
        <w:rPr>
          <w:rFonts w:eastAsiaTheme="minorEastAsia" w:cstheme="minorHAnsi"/>
          <w:vertAlign w:val="subscript"/>
        </w:rPr>
        <w:t>ʘ</w:t>
      </w:r>
      <w:r>
        <w:rPr>
          <w:rFonts w:eastAsiaTheme="minorEastAsia"/>
        </w:rPr>
        <w:t xml:space="preserve">) evolves on the MS, a gradient of chemical composition develops at the outer border of the convective core. If the Schwarzschild criterion context is used (convective instability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rad</m:t>
            </m:r>
          </m:sub>
        </m:sSub>
        <m:r>
          <w:rPr>
            <w:rFonts w:ascii="Cambria Math" w:eastAsiaTheme="minorEastAsia" w:hAnsi="Cambria Math"/>
          </w:rPr>
          <m:t xml:space="preserve"> 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r>
              <w:rPr>
                <w:rFonts w:ascii="Cambria Math" w:eastAsiaTheme="minorEastAsia" w:hAnsi="Cambria Math"/>
              </w:rPr>
              <m:t>ad</m:t>
            </m:r>
          </m:sub>
        </m:sSub>
      </m:oMath>
      <w:r>
        <w:rPr>
          <w:rFonts w:eastAsiaTheme="minorEastAsia"/>
        </w:rPr>
        <w:t>), then the outwards increase of opacity leads to the formation of a region of semiconductive instability outside the convective core</w:t>
      </w:r>
    </w:p>
    <w:p w14:paraId="13560E1F" w14:textId="1394C04D" w:rsidR="00315DCE" w:rsidRPr="00315DCE" w:rsidRDefault="00315DCE" w:rsidP="008B021D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Therefore a mixing of matter occurs until the neutrality of gradients is reached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rad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r>
              <w:rPr>
                <w:rFonts w:ascii="Cambria Math" w:eastAsiaTheme="minorEastAsia" w:hAnsi="Cambria Math"/>
              </w:rPr>
              <m:t>ad</m:t>
            </m:r>
          </m:sub>
        </m:sSub>
      </m:oMath>
      <w:r>
        <w:rPr>
          <w:rFonts w:eastAsiaTheme="minorEastAsia"/>
        </w:rPr>
        <w:t xml:space="preserve">). </w:t>
      </w:r>
    </w:p>
    <w:p w14:paraId="4CA1FA9A" w14:textId="7EDBFAAE" w:rsidR="00315DCE" w:rsidRPr="00315DCE" w:rsidRDefault="00315DCE" w:rsidP="008B021D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During the post MS this region becomes  an intermediate convective zone which develops as H begins burning in a shell in the </w:t>
      </w:r>
      <w:r>
        <w:rPr>
          <w:rFonts w:eastAsiaTheme="minorEastAsia" w:cstheme="minorHAnsi"/>
        </w:rPr>
        <w:t>μ</w:t>
      </w:r>
      <w:r>
        <w:rPr>
          <w:rFonts w:eastAsiaTheme="minorEastAsia"/>
        </w:rPr>
        <w:t>-gradient region.</w:t>
      </w:r>
    </w:p>
    <w:p w14:paraId="582CD168" w14:textId="2CF8D178" w:rsidR="00315DCE" w:rsidRPr="00315DCE" w:rsidRDefault="00315DCE" w:rsidP="008B021D">
      <w:pPr>
        <w:pStyle w:val="ListParagraph"/>
        <w:numPr>
          <w:ilvl w:val="0"/>
          <w:numId w:val="1"/>
        </w:numPr>
      </w:pPr>
      <w:r w:rsidRPr="00315DCE">
        <w:rPr>
          <w:rFonts w:eastAsiaTheme="minorEastAsia"/>
        </w:rPr>
        <w:t>If the Ledoux criterion is used instead (convective instability</w:t>
      </w:r>
      <w:r>
        <w:rPr>
          <w:rFonts w:eastAsiaTheme="minorEastAsia"/>
        </w:rPr>
        <w:t xml:space="preserve"> if</w:t>
      </w:r>
      <w:r w:rsidRPr="00315DC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rad</m:t>
            </m:r>
          </m:sub>
        </m:sSub>
        <m:r>
          <w:rPr>
            <w:rFonts w:ascii="Cambria Math" w:eastAsiaTheme="minorEastAsia" w:hAnsi="Cambria Math"/>
          </w:rPr>
          <m:t xml:space="preserve"> ≥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r>
              <w:rPr>
                <w:rFonts w:ascii="Cambria Math" w:eastAsiaTheme="minorEastAsia" w:hAnsi="Cambria Math"/>
              </w:rPr>
              <m:t>ad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Β</m:t>
            </m:r>
          </m:num>
          <m:den>
            <m:r>
              <w:rPr>
                <w:rFonts w:ascii="Cambria Math" w:eastAsiaTheme="minorEastAsia" w:hAnsi="Cambria Math"/>
              </w:rPr>
              <m:t>4-3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Β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 xml:space="preserve">μ, where </m:t>
        </m:r>
        <m:r>
          <m:rPr>
            <m:sty m:val="p"/>
          </m:rPr>
          <w:rPr>
            <w:rFonts w:ascii="Cambria Math" w:eastAsiaTheme="minorEastAsia" w:hAnsi="Cambria Math"/>
          </w:rPr>
          <m:t>Β</m:t>
        </m:r>
        <m:r>
          <w:rPr>
            <w:rFonts w:ascii="Cambria Math" w:eastAsiaTheme="minorEastAsia" w:hAnsi="Cambria Math"/>
          </w:rPr>
          <m:t xml:space="preserve"> is the rat</m:t>
        </m:r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 xml:space="preserve">o of the gas to the total pressure) </m:t>
        </m:r>
      </m:oMath>
      <w:r>
        <w:rPr>
          <w:rFonts w:eastAsiaTheme="minorEastAsia"/>
        </w:rPr>
        <w:t xml:space="preserve">then the role of </w:t>
      </w:r>
      <w:r>
        <w:rPr>
          <w:rFonts w:eastAsiaTheme="minorEastAsia" w:cstheme="minorHAnsi"/>
        </w:rPr>
        <w:t>μ</w:t>
      </w:r>
      <w:r>
        <w:rPr>
          <w:rFonts w:eastAsiaTheme="minorEastAsia"/>
        </w:rPr>
        <w:t>-gradients on the stability against convection is considered</w:t>
      </w:r>
    </w:p>
    <w:p w14:paraId="4D91EDAB" w14:textId="6015E369" w:rsidR="00315DCE" w:rsidRPr="009E1FE1" w:rsidRDefault="00315DCE" w:rsidP="008B021D">
      <w:pPr>
        <w:pStyle w:val="ListParagraph"/>
        <w:numPr>
          <w:ilvl w:val="0"/>
          <w:numId w:val="1"/>
        </w:numPr>
      </w:pPr>
      <w:r w:rsidRPr="009E1FE1">
        <w:rPr>
          <w:rFonts w:eastAsiaTheme="minorEastAsia"/>
        </w:rPr>
        <w:t xml:space="preserve">Adopting this criterion does not change the size of the convective core during the MS phase, however </w:t>
      </w:r>
      <w:r w:rsidR="009E1FE1" w:rsidRPr="009E1FE1">
        <w:rPr>
          <w:rFonts w:eastAsiaTheme="minorEastAsia"/>
        </w:rPr>
        <w:t xml:space="preserve">a convective region located outside the convective core appears during the MS phase at the base of the homogeneous region at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>=0.45</m:t>
        </m:r>
      </m:oMath>
      <w:r w:rsidR="009E1FE1">
        <w:rPr>
          <w:rFonts w:eastAsiaTheme="minorEastAsia"/>
        </w:rPr>
        <w:t xml:space="preserve"> in the 20M</w:t>
      </w:r>
      <w:r w:rsidR="009E1FE1">
        <w:rPr>
          <w:rFonts w:eastAsiaTheme="minorEastAsia" w:cstheme="minorHAnsi"/>
          <w:vertAlign w:val="subscript"/>
        </w:rPr>
        <w:t>ʘ</w:t>
      </w:r>
      <w:r w:rsidR="009E1FE1">
        <w:rPr>
          <w:rFonts w:eastAsiaTheme="minorEastAsia" w:cstheme="minorHAnsi"/>
        </w:rPr>
        <w:t xml:space="preserve"> model and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m</m:t>
            </m:r>
          </m:num>
          <m:den>
            <m:r>
              <w:rPr>
                <w:rFonts w:ascii="Cambria Math" w:eastAsiaTheme="minorEastAsia" w:hAnsi="Cambria Math" w:cstheme="minorHAnsi"/>
              </w:rPr>
              <m:t>M</m:t>
            </m:r>
          </m:den>
        </m:f>
        <m:r>
          <w:rPr>
            <w:rFonts w:ascii="Cambria Math" w:eastAsiaTheme="minorEastAsia" w:hAnsi="Cambria Math" w:cstheme="minorHAnsi"/>
          </w:rPr>
          <m:t>=0.39</m:t>
        </m:r>
      </m:oMath>
      <w:r w:rsidR="009E1FE1">
        <w:rPr>
          <w:rFonts w:eastAsiaTheme="minorEastAsia" w:cstheme="minorHAnsi"/>
        </w:rPr>
        <w:t xml:space="preserve"> in the 15M</w:t>
      </w:r>
      <w:r w:rsidR="009E1FE1">
        <w:rPr>
          <w:rFonts w:eastAsiaTheme="minorEastAsia" w:cstheme="minorHAnsi"/>
          <w:vertAlign w:val="subscript"/>
        </w:rPr>
        <w:t>ʘ</w:t>
      </w:r>
      <w:r w:rsidR="009E1FE1">
        <w:rPr>
          <w:rFonts w:eastAsiaTheme="minorEastAsia" w:cstheme="minorHAnsi"/>
        </w:rPr>
        <w:t xml:space="preserve"> model. </w:t>
      </w:r>
    </w:p>
    <w:p w14:paraId="42C22E1A" w14:textId="1E61F986" w:rsidR="009E1FE1" w:rsidRDefault="009E1FE1" w:rsidP="008B021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FD39E5D" wp14:editId="6BD9D234">
            <wp:extent cx="5731510" cy="2638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5806" w14:textId="3AB725C5" w:rsidR="00F7652E" w:rsidRPr="00617A27" w:rsidRDefault="00F7652E" w:rsidP="00617A27">
      <w:pPr>
        <w:pStyle w:val="ListParagraph"/>
        <w:numPr>
          <w:ilvl w:val="0"/>
          <w:numId w:val="1"/>
        </w:numPr>
      </w:pPr>
      <w:r>
        <w:t xml:space="preserve">Central panel shows the convective region which results from the outwards increase of opacity in a region where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μ=0</m:t>
        </m:r>
      </m:oMath>
      <w:r>
        <w:rPr>
          <w:rFonts w:eastAsiaTheme="minorEastAsia"/>
        </w:rPr>
        <w:t>, hence the Schwarzschild and Ledoux criterion are equivalent</w:t>
      </w:r>
      <w:r w:rsidR="00617A27">
        <w:rPr>
          <w:rFonts w:eastAsiaTheme="minorEastAsia"/>
        </w:rPr>
        <w:t>.</w:t>
      </w:r>
    </w:p>
    <w:p w14:paraId="552C912E" w14:textId="7459AC27" w:rsidR="00617A27" w:rsidRPr="00617A27" w:rsidRDefault="00617A27" w:rsidP="00617A27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The location of the intermediate convective zone (ICZ) corresponds to that of the maximum extension of the convective core during the MS-phase, and it remains the same during the post MS-phase until the onset of He-burning. </w:t>
      </w:r>
    </w:p>
    <w:p w14:paraId="76A9777F" w14:textId="744CCF07" w:rsidR="00617A27" w:rsidRPr="00617A27" w:rsidRDefault="00617A27" w:rsidP="00617A27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The location and size of the ICZ during the post MS-phase in models adopting the Ledoux </w:t>
      </w:r>
      <w:proofErr w:type="gramStart"/>
      <w:r>
        <w:rPr>
          <w:rFonts w:eastAsiaTheme="minorEastAsia"/>
        </w:rPr>
        <w:t>criterion</w:t>
      </w:r>
      <w:proofErr w:type="gramEnd"/>
      <w:r>
        <w:rPr>
          <w:rFonts w:eastAsiaTheme="minorEastAsia"/>
        </w:rPr>
        <w:t xml:space="preserve"> are different from models adopting the Schwarzschild criterion.</w:t>
      </w:r>
    </w:p>
    <w:p w14:paraId="41AF334F" w14:textId="6344DC7F" w:rsidR="00617A27" w:rsidRPr="00123715" w:rsidRDefault="00617A27" w:rsidP="00617A27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With Ledoux’s criterion, the thickness of the ICZ can reach 15-20% of the star’s total mass, however when overshooting is included (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ad</m:t>
            </m:r>
          </m:sub>
        </m:sSub>
        <m:r>
          <w:rPr>
            <w:rFonts w:ascii="Cambria Math" w:eastAsiaTheme="minorEastAsia" w:hAnsi="Cambria Math"/>
          </w:rPr>
          <m:t xml:space="preserve"> in the overshoot region</m:t>
        </m:r>
      </m:oMath>
      <w:r>
        <w:rPr>
          <w:rFonts w:eastAsiaTheme="minorEastAsia"/>
        </w:rPr>
        <w:t xml:space="preserve">), no ICZ </w:t>
      </w:r>
      <w:r w:rsidR="00C571E8">
        <w:rPr>
          <w:rFonts w:eastAsiaTheme="minorEastAsia"/>
        </w:rPr>
        <w:t>appears during the MS for M=15</w:t>
      </w:r>
      <w:r w:rsidR="00C571E8">
        <w:rPr>
          <w:rFonts w:eastAsiaTheme="minorEastAsia" w:cstheme="minorHAnsi"/>
          <w:vertAlign w:val="subscript"/>
        </w:rPr>
        <w:t>ʘ</w:t>
      </w:r>
      <w:r w:rsidR="00C571E8">
        <w:rPr>
          <w:rFonts w:eastAsiaTheme="minorEastAsia" w:cstheme="minorHAnsi"/>
        </w:rPr>
        <w:t xml:space="preserve"> and appears later for M=20</w:t>
      </w:r>
      <w:r w:rsidR="00C571E8">
        <w:rPr>
          <w:rFonts w:eastAsiaTheme="minorEastAsia" w:cstheme="minorHAnsi"/>
          <w:vertAlign w:val="subscript"/>
        </w:rPr>
        <w:t>ʘ</w:t>
      </w:r>
      <w:r w:rsidR="00C571E8">
        <w:rPr>
          <w:rFonts w:eastAsiaTheme="minorEastAsia" w:cstheme="minorHAnsi"/>
        </w:rPr>
        <w:t xml:space="preserve"> than in models </w:t>
      </w:r>
      <w:r w:rsidR="004F2241">
        <w:rPr>
          <w:rFonts w:eastAsiaTheme="minorEastAsia" w:cstheme="minorHAnsi"/>
        </w:rPr>
        <w:t xml:space="preserve"> without overshooting </w:t>
      </w:r>
    </w:p>
    <w:p w14:paraId="63CBE3C7" w14:textId="20F9DB98" w:rsidR="00123715" w:rsidRDefault="00123715" w:rsidP="00617A27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18D4129" wp14:editId="7EB92CD5">
            <wp:extent cx="5731510" cy="27209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2592" w14:textId="333EBE61" w:rsidR="00123715" w:rsidRDefault="00123715" w:rsidP="00617A27">
      <w:pPr>
        <w:pStyle w:val="ListParagraph"/>
        <w:numPr>
          <w:ilvl w:val="0"/>
          <w:numId w:val="1"/>
        </w:numPr>
      </w:pPr>
      <w:r>
        <w:t xml:space="preserve">In models computed with the Ledoux’s criterion, the </w:t>
      </w:r>
      <w:r w:rsidRPr="00123715">
        <w:t>μ</w:t>
      </w:r>
      <w:r>
        <w:t>-gradient region located below the ICZ brings a large contribution to the B</w:t>
      </w:r>
      <w:r w:rsidRPr="00123715">
        <w:t>runt–</w:t>
      </w:r>
      <w:proofErr w:type="spellStart"/>
      <w:r w:rsidRPr="00123715">
        <w:t>Väisälä</w:t>
      </w:r>
      <w:proofErr w:type="spellEnd"/>
      <w:r w:rsidRPr="00123715">
        <w:t xml:space="preserve"> frequenc</w:t>
      </w:r>
      <w:r>
        <w:t>y N</w:t>
      </w:r>
      <w:r>
        <w:rPr>
          <w:vertAlign w:val="subscript"/>
        </w:rPr>
        <w:t>BV</w:t>
      </w:r>
      <w:r>
        <w:t xml:space="preserve"> which leads to a strong damping of the models </w:t>
      </w:r>
    </w:p>
    <w:p w14:paraId="091A4E08" w14:textId="26493DFE" w:rsidR="00123715" w:rsidRDefault="00123715" w:rsidP="00617A27">
      <w:pPr>
        <w:pStyle w:val="ListParagraph"/>
        <w:numPr>
          <w:ilvl w:val="0"/>
          <w:numId w:val="1"/>
        </w:numPr>
      </w:pPr>
      <w:r>
        <w:t>In models computed with the Schwarzschild criterion</w:t>
      </w:r>
      <w:r w:rsidR="001A6D3A">
        <w:t xml:space="preserve">, the ICZ, which is closely related to the H-burning shell, is located within the </w:t>
      </w:r>
      <w:r w:rsidR="001A6D3A">
        <w:rPr>
          <w:rFonts w:cstheme="minorHAnsi"/>
        </w:rPr>
        <w:t>μ</w:t>
      </w:r>
      <w:r w:rsidR="001A6D3A">
        <w:t xml:space="preserve">-gradient region. </w:t>
      </w:r>
    </w:p>
    <w:p w14:paraId="62DBEE3F" w14:textId="31E16877" w:rsidR="001A6D3A" w:rsidRDefault="001A6D3A" w:rsidP="00617A27">
      <w:pPr>
        <w:pStyle w:val="ListParagraph"/>
        <w:numPr>
          <w:ilvl w:val="0"/>
          <w:numId w:val="1"/>
        </w:numPr>
      </w:pPr>
      <w:r>
        <w:t>In the ICZ, N</w:t>
      </w:r>
      <w:r>
        <w:rPr>
          <w:vertAlign w:val="subscript"/>
        </w:rPr>
        <w:t xml:space="preserve">BV </w:t>
      </w:r>
      <w:r>
        <w:t>= 0, which corresponds to less radiative damping.</w:t>
      </w:r>
    </w:p>
    <w:p w14:paraId="2F716517" w14:textId="277D9FD9" w:rsidR="001A6D3A" w:rsidRDefault="001A6D3A" w:rsidP="00617A27">
      <w:pPr>
        <w:pStyle w:val="ListParagraph"/>
        <w:numPr>
          <w:ilvl w:val="0"/>
          <w:numId w:val="1"/>
        </w:numPr>
      </w:pPr>
      <w:r>
        <w:t>In models computed with the Ledoux’s criterion , the ICZ is thin and located at higher values of m/M, at the base of the homogeneous region  therefore N</w:t>
      </w:r>
      <w:r>
        <w:rPr>
          <w:vertAlign w:val="subscript"/>
        </w:rPr>
        <w:t>BV</w:t>
      </w:r>
      <w:r>
        <w:t xml:space="preserve"> remains high in the </w:t>
      </w:r>
      <w:r>
        <w:rPr>
          <w:rFonts w:cstheme="minorHAnsi"/>
        </w:rPr>
        <w:t>μ</w:t>
      </w:r>
      <w:r>
        <w:t xml:space="preserve">-gradient region which leads to more radiative damping. </w:t>
      </w:r>
    </w:p>
    <w:p w14:paraId="196A0966" w14:textId="4A76A004" w:rsidR="001A6D3A" w:rsidRDefault="001A6D3A" w:rsidP="00617A27">
      <w:pPr>
        <w:pStyle w:val="ListParagraph"/>
        <w:numPr>
          <w:ilvl w:val="0"/>
          <w:numId w:val="1"/>
        </w:numPr>
      </w:pPr>
      <w:r>
        <w:t>This means more models are excited when computed with the Schwarzschild criterion than those computed with the Ledoux’s criterion</w:t>
      </w:r>
      <w:r w:rsidR="00FC253B">
        <w:t>.</w:t>
      </w:r>
    </w:p>
    <w:p w14:paraId="43E5947E" w14:textId="502E5D31" w:rsidR="00F4363F" w:rsidRDefault="00F4363F" w:rsidP="00F4363F"/>
    <w:p w14:paraId="1DB9F626" w14:textId="4FA6F276" w:rsidR="00F4363F" w:rsidRPr="008B021D" w:rsidRDefault="00F4363F" w:rsidP="00F4363F"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Lebreton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Y.,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Montalbán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Godart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Morel, P., Noels, A.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Dupret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M.A., 2009. Ledoux's convection criterion in evolution and asteroseismology of massive stars.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preprint arXiv:0907.1448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</w:p>
    <w:sectPr w:rsidR="00F4363F" w:rsidRPr="008B0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AC0372"/>
    <w:multiLevelType w:val="hybridMultilevel"/>
    <w:tmpl w:val="A2181EF2"/>
    <w:lvl w:ilvl="0" w:tplc="C8F26F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1D"/>
    <w:rsid w:val="00123715"/>
    <w:rsid w:val="001A6D3A"/>
    <w:rsid w:val="00315DCE"/>
    <w:rsid w:val="004F2241"/>
    <w:rsid w:val="00617A27"/>
    <w:rsid w:val="008300F5"/>
    <w:rsid w:val="008B021D"/>
    <w:rsid w:val="009A5F83"/>
    <w:rsid w:val="009E1FE1"/>
    <w:rsid w:val="00C571E8"/>
    <w:rsid w:val="00F4363F"/>
    <w:rsid w:val="00F7652E"/>
    <w:rsid w:val="00FC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32A3"/>
  <w15:chartTrackingRefBased/>
  <w15:docId w15:val="{C79C8589-7215-43BB-86E4-F92D05E8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2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02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Scattergood</dc:creator>
  <cp:keywords/>
  <dc:description/>
  <cp:lastModifiedBy>Thomas Scattergood</cp:lastModifiedBy>
  <cp:revision>9</cp:revision>
  <dcterms:created xsi:type="dcterms:W3CDTF">2021-03-06T11:17:00Z</dcterms:created>
  <dcterms:modified xsi:type="dcterms:W3CDTF">2021-03-08T16:10:00Z</dcterms:modified>
</cp:coreProperties>
</file>