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E28B" w14:textId="0A6FFB91" w:rsidR="00496298" w:rsidRDefault="009E6603" w:rsidP="009E6603">
      <w:pPr>
        <w:jc w:val="center"/>
        <w:rPr>
          <w:b/>
          <w:bCs/>
          <w:sz w:val="32"/>
          <w:szCs w:val="32"/>
          <w:u w:val="single"/>
        </w:rPr>
      </w:pPr>
      <w:r w:rsidRPr="009E6603">
        <w:rPr>
          <w:b/>
          <w:bCs/>
          <w:sz w:val="32"/>
          <w:szCs w:val="32"/>
          <w:u w:val="single"/>
        </w:rPr>
        <w:t xml:space="preserve">B and O type flare notes </w:t>
      </w:r>
    </w:p>
    <w:p w14:paraId="05129118" w14:textId="31DDDAB1" w:rsidR="009E6603" w:rsidRDefault="00631491" w:rsidP="009E66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9E6603">
        <w:rPr>
          <w:sz w:val="28"/>
          <w:szCs w:val="28"/>
        </w:rPr>
        <w:t>class of massive X-ray binaries, transient x-ray sources associated with O and B type stars which are characterized by short outbursts</w:t>
      </w:r>
    </w:p>
    <w:p w14:paraId="2A959BC5" w14:textId="4840E2E6" w:rsidR="009E6603" w:rsidRDefault="009E6603" w:rsidP="009E66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6603">
        <w:rPr>
          <w:sz w:val="28"/>
          <w:szCs w:val="28"/>
        </w:rPr>
        <w:t>Supergiant fast x-ray transients (SFXTs) are different from classical high mass x-ray binaries (HMXBs) with supergiant companions, which are bright persistent sources.</w:t>
      </w:r>
      <w:r w:rsidR="00D362D8">
        <w:rPr>
          <w:sz w:val="28"/>
          <w:szCs w:val="28"/>
        </w:rPr>
        <w:t xml:space="preserve"> [1]</w:t>
      </w:r>
    </w:p>
    <w:p w14:paraId="74D7786B" w14:textId="401924D8" w:rsidR="009E6603" w:rsidRDefault="009E6603" w:rsidP="009E66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Outbursts from SFXTs range from a luminosity of 10</w:t>
      </w:r>
      <w:r>
        <w:rPr>
          <w:sz w:val="28"/>
          <w:szCs w:val="28"/>
          <w:vertAlign w:val="superscript"/>
        </w:rPr>
        <w:t>32</w:t>
      </w:r>
      <w:r>
        <w:rPr>
          <w:sz w:val="28"/>
          <w:szCs w:val="28"/>
        </w:rPr>
        <w:t>erg s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(10x10</w:t>
      </w:r>
      <w:r>
        <w:rPr>
          <w:sz w:val="28"/>
          <w:szCs w:val="28"/>
          <w:vertAlign w:val="superscript"/>
        </w:rPr>
        <w:t xml:space="preserve">25 </w:t>
      </w:r>
      <w:r>
        <w:rPr>
          <w:sz w:val="28"/>
          <w:szCs w:val="28"/>
        </w:rPr>
        <w:t>W) to a peak luminosity of 10</w:t>
      </w:r>
      <w:r>
        <w:rPr>
          <w:sz w:val="28"/>
          <w:szCs w:val="28"/>
          <w:vertAlign w:val="superscript"/>
        </w:rPr>
        <w:t>37</w:t>
      </w:r>
      <w:r>
        <w:rPr>
          <w:sz w:val="28"/>
          <w:szCs w:val="28"/>
        </w:rPr>
        <w:t>erg s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(10x10</w:t>
      </w:r>
      <w:r>
        <w:rPr>
          <w:sz w:val="28"/>
          <w:szCs w:val="28"/>
          <w:vertAlign w:val="superscript"/>
        </w:rPr>
        <w:t xml:space="preserve">30 </w:t>
      </w:r>
      <w:r>
        <w:rPr>
          <w:sz w:val="28"/>
          <w:szCs w:val="28"/>
        </w:rPr>
        <w:t xml:space="preserve">W) </w:t>
      </w:r>
    </w:p>
    <w:p w14:paraId="1FA7584C" w14:textId="060B0C8C" w:rsidR="009E6603" w:rsidRDefault="009E6603" w:rsidP="009E66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Outbursts last a few days </w:t>
      </w:r>
      <w:r w:rsidR="000776C6">
        <w:rPr>
          <w:sz w:val="28"/>
          <w:szCs w:val="28"/>
        </w:rPr>
        <w:t>and consist of many short outbursts which last a few hours each</w:t>
      </w:r>
      <w:r w:rsidR="00D362D8">
        <w:rPr>
          <w:sz w:val="28"/>
          <w:szCs w:val="28"/>
        </w:rPr>
        <w:t xml:space="preserve"> [1] </w:t>
      </w:r>
    </w:p>
    <w:p w14:paraId="631F17BD" w14:textId="2CEEFE49" w:rsidR="000776C6" w:rsidRDefault="000776C6" w:rsidP="009E66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SFXTs can also display a faint flaring effect with luminosity, L</w:t>
      </w:r>
      <w:r>
        <w:rPr>
          <w:sz w:val="28"/>
          <w:szCs w:val="28"/>
          <w:vertAlign w:val="subscript"/>
        </w:rPr>
        <w:t>X</w:t>
      </w:r>
      <w:r>
        <w:rPr>
          <w:sz w:val="28"/>
          <w:szCs w:val="28"/>
        </w:rPr>
        <w:t xml:space="preserve"> = 10</w:t>
      </w:r>
      <w:r>
        <w:rPr>
          <w:sz w:val="28"/>
          <w:szCs w:val="28"/>
          <w:vertAlign w:val="superscript"/>
        </w:rPr>
        <w:t>33</w:t>
      </w:r>
      <w:r>
        <w:rPr>
          <w:sz w:val="28"/>
          <w:szCs w:val="28"/>
        </w:rPr>
        <w:t xml:space="preserve"> – 10</w:t>
      </w:r>
      <w:r>
        <w:rPr>
          <w:sz w:val="28"/>
          <w:szCs w:val="28"/>
          <w:vertAlign w:val="superscript"/>
        </w:rPr>
        <w:t>34</w:t>
      </w:r>
      <w:r>
        <w:rPr>
          <w:sz w:val="28"/>
          <w:szCs w:val="28"/>
        </w:rPr>
        <w:t xml:space="preserve"> erg s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 xml:space="preserve"> (10</w:t>
      </w:r>
      <w:r>
        <w:rPr>
          <w:sz w:val="28"/>
          <w:szCs w:val="28"/>
          <w:vertAlign w:val="superscript"/>
        </w:rPr>
        <w:t xml:space="preserve">27 </w:t>
      </w:r>
      <w:r>
        <w:rPr>
          <w:sz w:val="28"/>
          <w:szCs w:val="28"/>
        </w:rPr>
        <w:t>– 10</w:t>
      </w:r>
      <w:r>
        <w:rPr>
          <w:sz w:val="28"/>
          <w:szCs w:val="28"/>
          <w:vertAlign w:val="superscript"/>
        </w:rPr>
        <w:t>28</w:t>
      </w:r>
      <w:r>
        <w:rPr>
          <w:sz w:val="28"/>
          <w:szCs w:val="28"/>
        </w:rPr>
        <w:t xml:space="preserve"> W)</w:t>
      </w:r>
      <w:r w:rsidR="00D362D8">
        <w:rPr>
          <w:sz w:val="28"/>
          <w:szCs w:val="28"/>
        </w:rPr>
        <w:t xml:space="preserve"> [1]</w:t>
      </w:r>
    </w:p>
    <w:p w14:paraId="59062138" w14:textId="3EB3AEFF" w:rsidR="00565D68" w:rsidRDefault="00565D68" w:rsidP="000776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One proposition of </w:t>
      </w:r>
      <w:r w:rsidR="000776C6">
        <w:rPr>
          <w:sz w:val="28"/>
          <w:szCs w:val="28"/>
        </w:rPr>
        <w:t xml:space="preserve">SFXT outbursts </w:t>
      </w:r>
      <w:r>
        <w:rPr>
          <w:sz w:val="28"/>
          <w:szCs w:val="28"/>
        </w:rPr>
        <w:t>is</w:t>
      </w:r>
      <w:r w:rsidR="000776C6">
        <w:rPr>
          <w:sz w:val="28"/>
          <w:szCs w:val="28"/>
        </w:rPr>
        <w:t xml:space="preserve"> due to </w:t>
      </w:r>
      <w:r>
        <w:rPr>
          <w:sz w:val="28"/>
          <w:szCs w:val="28"/>
        </w:rPr>
        <w:t>the presence of an equatorial wind component which is denser and slower than the symmetric wind from the supergiant.</w:t>
      </w:r>
      <w:r w:rsidR="00D362D8">
        <w:rPr>
          <w:sz w:val="28"/>
          <w:szCs w:val="28"/>
        </w:rPr>
        <w:t xml:space="preserve"> </w:t>
      </w:r>
      <w:r w:rsidR="00840512">
        <w:rPr>
          <w:sz w:val="28"/>
          <w:szCs w:val="28"/>
        </w:rPr>
        <w:t>In the framework of this wind accretion, “the X-ray luminosity depends on the wind mass loss rate, M</w:t>
      </w:r>
      <w:r w:rsidR="00840512">
        <w:rPr>
          <w:sz w:val="28"/>
          <w:szCs w:val="28"/>
          <w:vertAlign w:val="subscript"/>
        </w:rPr>
        <w:t>w</w:t>
      </w:r>
      <w:r w:rsidR="00840512">
        <w:rPr>
          <w:sz w:val="28"/>
          <w:szCs w:val="28"/>
        </w:rPr>
        <w:t xml:space="preserve">, and on the relative velocity, </w:t>
      </w:r>
      <w:proofErr w:type="spellStart"/>
      <w:r w:rsidR="00840512">
        <w:rPr>
          <w:rFonts w:cstheme="minorHAnsi"/>
          <w:sz w:val="28"/>
          <w:szCs w:val="28"/>
        </w:rPr>
        <w:t>ν</w:t>
      </w:r>
      <w:r w:rsidR="00840512">
        <w:rPr>
          <w:sz w:val="28"/>
          <w:szCs w:val="28"/>
          <w:vertAlign w:val="subscript"/>
        </w:rPr>
        <w:t>rel</w:t>
      </w:r>
      <w:proofErr w:type="spellEnd"/>
      <w:r w:rsidR="00840512">
        <w:rPr>
          <w:sz w:val="28"/>
          <w:szCs w:val="28"/>
        </w:rPr>
        <w:t>, of the neutron star and the wind”</w:t>
      </w:r>
      <w:r w:rsidR="00D362D8">
        <w:rPr>
          <w:sz w:val="28"/>
          <w:szCs w:val="28"/>
        </w:rPr>
        <w:t>[2]</w:t>
      </w:r>
    </w:p>
    <w:p w14:paraId="1CB4E87E" w14:textId="1756EF7E" w:rsidR="000776C6" w:rsidRDefault="00565D68" w:rsidP="000776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Another proposition involves gated mechanisms which are d</w:t>
      </w:r>
      <w:r w:rsidR="00840512">
        <w:rPr>
          <w:sz w:val="28"/>
          <w:szCs w:val="28"/>
        </w:rPr>
        <w:t>u</w:t>
      </w:r>
      <w:r>
        <w:rPr>
          <w:sz w:val="28"/>
          <w:szCs w:val="28"/>
        </w:rPr>
        <w:t>e to transitions across the centrifugal barrier (centrifugal or magnetic barrier can explain SFXT properties if the supergiant wind is inhomogeneous</w:t>
      </w:r>
      <w:r w:rsidR="008C5D11">
        <w:rPr>
          <w:sz w:val="28"/>
          <w:szCs w:val="28"/>
        </w:rPr>
        <w:t>)</w:t>
      </w:r>
    </w:p>
    <w:p w14:paraId="7D2E8265" w14:textId="531798CD" w:rsidR="008C5D11" w:rsidRDefault="008C5D11" w:rsidP="000776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framework of the clumpy wind model proposed by </w:t>
      </w:r>
      <w:proofErr w:type="spellStart"/>
      <w:r>
        <w:rPr>
          <w:sz w:val="28"/>
          <w:szCs w:val="28"/>
        </w:rPr>
        <w:t>Oskinova</w:t>
      </w:r>
      <w:proofErr w:type="spellEnd"/>
      <w:r>
        <w:rPr>
          <w:sz w:val="28"/>
          <w:szCs w:val="28"/>
        </w:rPr>
        <w:t xml:space="preserve">, Hamann and </w:t>
      </w:r>
      <w:proofErr w:type="spellStart"/>
      <w:r>
        <w:rPr>
          <w:sz w:val="28"/>
          <w:szCs w:val="28"/>
        </w:rPr>
        <w:t>Feldmeier</w:t>
      </w:r>
      <w:proofErr w:type="spellEnd"/>
      <w:r>
        <w:rPr>
          <w:sz w:val="28"/>
          <w:szCs w:val="28"/>
        </w:rPr>
        <w:t>, (2007) [3] they proposed that SFXTs differ fr</w:t>
      </w:r>
      <w:r w:rsidR="00D107D8">
        <w:rPr>
          <w:sz w:val="28"/>
          <w:szCs w:val="28"/>
        </w:rPr>
        <w:t>o</w:t>
      </w:r>
      <w:r>
        <w:rPr>
          <w:sz w:val="28"/>
          <w:szCs w:val="28"/>
        </w:rPr>
        <w:t xml:space="preserve">m HMXBs with supergiant companions by their different orbital separation. In persistently bright sources (HMXBs), the compact object orbits the companion at a distance of around 2 stellar radii (with high number density of clumps). Whereas “the transient emission in SFXTs is produced by accretion of much rarer clumps present at larger distances” [1]. </w:t>
      </w:r>
    </w:p>
    <w:p w14:paraId="593D6953" w14:textId="7C9856A3" w:rsidR="008C5D11" w:rsidRDefault="008C5D11" w:rsidP="000776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56304C">
        <w:rPr>
          <w:sz w:val="28"/>
          <w:szCs w:val="28"/>
        </w:rPr>
        <w:t xml:space="preserve">the total mass of the star decreases (via mass loss) then the number of flares decreases due to a reduction in the total </w:t>
      </w:r>
      <w:r w:rsidR="00016AC5">
        <w:rPr>
          <w:sz w:val="28"/>
          <w:szCs w:val="28"/>
        </w:rPr>
        <w:t>n</w:t>
      </w:r>
      <w:r w:rsidR="0056304C">
        <w:rPr>
          <w:sz w:val="28"/>
          <w:szCs w:val="28"/>
        </w:rPr>
        <w:t>umber of clumps, and the average luminosity of the flares is reduced due to the decrease in the number density of clumps</w:t>
      </w:r>
      <w:r w:rsidR="008E56D5">
        <w:rPr>
          <w:sz w:val="28"/>
          <w:szCs w:val="28"/>
        </w:rPr>
        <w:t xml:space="preserve"> </w:t>
      </w:r>
      <w:r w:rsidR="0023350F">
        <w:rPr>
          <w:sz w:val="28"/>
          <w:szCs w:val="28"/>
        </w:rPr>
        <w:t>[1]</w:t>
      </w:r>
      <w:r w:rsidR="008E56D5">
        <w:rPr>
          <w:sz w:val="28"/>
          <w:szCs w:val="28"/>
        </w:rPr>
        <w:t>.</w:t>
      </w:r>
    </w:p>
    <w:p w14:paraId="4B35E05E" w14:textId="6B39959C" w:rsidR="004E3C05" w:rsidRDefault="004E3C05" w:rsidP="004E3C05">
      <w:pPr>
        <w:rPr>
          <w:sz w:val="28"/>
          <w:szCs w:val="28"/>
        </w:rPr>
      </w:pPr>
    </w:p>
    <w:p w14:paraId="1B2D68ED" w14:textId="381F0B43" w:rsidR="004E3C05" w:rsidRDefault="004E3C05" w:rsidP="004E3C05">
      <w:pPr>
        <w:rPr>
          <w:sz w:val="28"/>
          <w:szCs w:val="28"/>
        </w:rPr>
      </w:pPr>
    </w:p>
    <w:p w14:paraId="19FFE7E7" w14:textId="0970453D" w:rsidR="004E3C05" w:rsidRDefault="004E3C05" w:rsidP="004E3C05">
      <w:pPr>
        <w:rPr>
          <w:sz w:val="28"/>
          <w:szCs w:val="28"/>
        </w:rPr>
      </w:pPr>
    </w:p>
    <w:p w14:paraId="331CF11B" w14:textId="428585D9" w:rsidR="004E3C05" w:rsidRPr="004E3C05" w:rsidRDefault="004E3C05" w:rsidP="004E3C0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[1]</w:t>
      </w:r>
    </w:p>
    <w:p w14:paraId="1705C8CD" w14:textId="1C16553E" w:rsidR="0056304C" w:rsidRDefault="0027411E" w:rsidP="0027411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FD0E2BF" wp14:editId="4EFD6E4C">
            <wp:extent cx="5731510" cy="1664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7EA8" w14:textId="1E73C7E1" w:rsidR="004E3C05" w:rsidRDefault="004E3C05" w:rsidP="004E3C05">
      <w:pPr>
        <w:ind w:left="360"/>
        <w:rPr>
          <w:sz w:val="28"/>
          <w:szCs w:val="28"/>
        </w:rPr>
      </w:pPr>
    </w:p>
    <w:p w14:paraId="4DE3123B" w14:textId="76F855CD" w:rsidR="004E3C05" w:rsidRDefault="004E3C05" w:rsidP="004E3C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Ultra-long gamma ray bursts (ULGRBs), duration of thousands of seconds (about two orders of magnitude larger than that of standard Long GRBs (LGRBs)</w:t>
      </w:r>
    </w:p>
    <w:p w14:paraId="30009E9F" w14:textId="1182DE0A" w:rsidR="004E3C05" w:rsidRDefault="004E3C05" w:rsidP="004E3C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possible endpoint of stellar evolution of BSGs, due to the long free fall timescale of their envelopes, which allows accretion to power a long-lasting central engine [4]. </w:t>
      </w:r>
    </w:p>
    <w:p w14:paraId="4B4D630D" w14:textId="77777777" w:rsidR="00F3109A" w:rsidRDefault="004E3C05" w:rsidP="00F3109A">
      <w:pPr>
        <w:keepNext/>
      </w:pPr>
      <w:r>
        <w:rPr>
          <w:noProof/>
        </w:rPr>
        <w:drawing>
          <wp:inline distT="0" distB="0" distL="0" distR="0" wp14:anchorId="547BE473" wp14:editId="64F35C1B">
            <wp:extent cx="5731510" cy="2290445"/>
            <wp:effectExtent l="0" t="0" r="2540" b="0"/>
            <wp:docPr id="2" name="Picture 2" descr="Figure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D5E0" w14:textId="1AB8D7F4" w:rsidR="004E3C05" w:rsidRPr="00F3109A" w:rsidRDefault="00F3109A" w:rsidP="00F3109A">
      <w:pPr>
        <w:pStyle w:val="Caption"/>
        <w:rPr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Left: HR-diagram showing thee volution o</w:t>
      </w:r>
      <w:r>
        <w:rPr>
          <w:noProof/>
        </w:rPr>
        <w:t>f three massive stars from the zero- age MS to core collpase, calculated with MESA. The BSG (teal line)  has a M</w:t>
      </w:r>
      <w:r>
        <w:rPr>
          <w:noProof/>
          <w:vertAlign w:val="subscript"/>
        </w:rPr>
        <w:t>ini</w:t>
      </w:r>
      <w:r>
        <w:rPr>
          <w:noProof/>
        </w:rPr>
        <w:t xml:space="preserve"> = 30 solar masses, metalicity, Z = 10</w:t>
      </w:r>
      <w:r>
        <w:rPr>
          <w:noProof/>
          <w:vertAlign w:val="superscript"/>
        </w:rPr>
        <w:t>-5</w:t>
      </w:r>
      <w:r>
        <w:rPr>
          <w:noProof/>
        </w:rPr>
        <w:t xml:space="preserve"> and an initial roation rate = 0.55. Right: freefall timescale as a funciton of mass coordinate for the three models shown in the left panel. [4]</w:t>
      </w:r>
    </w:p>
    <w:p w14:paraId="438B3785" w14:textId="48E68A9B" w:rsidR="004E3C05" w:rsidRDefault="0072261E" w:rsidP="00F310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Left figure shows BSG does not evolve fully chemically homogeneously, its envelope experiences a large degree of mixing which keeps the star blue whilst preserving the envelope with a  radius of a few tens of solar radii</w:t>
      </w:r>
    </w:p>
    <w:p w14:paraId="4F604907" w14:textId="19EE5673" w:rsidR="0072261E" w:rsidRDefault="0072261E" w:rsidP="00F310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Dot shows where He burning begins contributing substantially ( 90% of solar luminosity)</w:t>
      </w:r>
    </w:p>
    <w:p w14:paraId="2CCF1842" w14:textId="345BA9D3" w:rsidR="0072261E" w:rsidRDefault="0072261E" w:rsidP="007226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Right figure shows how the BSG model accretion timescale is comparable with ULGRB durations, whilst WR model is consistent wit</w:t>
      </w:r>
      <w:r w:rsidR="000E4C51">
        <w:rPr>
          <w:sz w:val="28"/>
          <w:szCs w:val="28"/>
        </w:rPr>
        <w:t xml:space="preserve">h </w:t>
      </w:r>
      <w:r>
        <w:rPr>
          <w:sz w:val="28"/>
          <w:szCs w:val="28"/>
        </w:rPr>
        <w:t>LGRB durations (dotted lines)</w:t>
      </w:r>
    </w:p>
    <w:p w14:paraId="0CA31573" w14:textId="7E4F4267" w:rsidR="0072261E" w:rsidRDefault="0072261E" w:rsidP="007226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Free fall time scale:</w:t>
      </w:r>
    </w:p>
    <w:p w14:paraId="41B3662C" w14:textId="6F95D60F" w:rsidR="0072261E" w:rsidRPr="0072261E" w:rsidRDefault="001E7E0E" w:rsidP="0072261E">
      <w:pPr>
        <w:pStyle w:val="ListParagrap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ff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24πG</m:t>
                </m:r>
                <w:bookmarkStart w:id="0" w:name="_Hlk64035324"/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</m:acc>
                <w:bookmarkEnd w:id="0"/>
              </m:e>
            </m:rad>
          </m:den>
        </m:f>
      </m:oMath>
      <w:r w:rsidR="0072261E">
        <w:rPr>
          <w:rFonts w:eastAsiaTheme="minorEastAsia"/>
          <w:sz w:val="28"/>
          <w:szCs w:val="28"/>
        </w:rPr>
        <w:t xml:space="preserve"> [4] </w:t>
      </w:r>
    </w:p>
    <w:p w14:paraId="7B85F7F8" w14:textId="42D40653" w:rsidR="0072261E" w:rsidRDefault="0072261E" w:rsidP="007226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Where:</w:t>
      </w:r>
    </w:p>
    <w:p w14:paraId="5B03876D" w14:textId="6A539564" w:rsidR="0072261E" w:rsidRDefault="001E7E0E" w:rsidP="0072261E">
      <w:pPr>
        <w:pStyle w:val="ListParagraph"/>
        <w:rPr>
          <w:rFonts w:eastAsiaTheme="minor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</m:acc>
      </m:oMath>
      <w:r w:rsidR="0072261E">
        <w:rPr>
          <w:rFonts w:eastAsiaTheme="minorEastAsia"/>
          <w:sz w:val="28"/>
          <w:szCs w:val="28"/>
        </w:rPr>
        <w:t xml:space="preserve"> = average enclosed stellar density for a given stellar model at core-collapse </w:t>
      </w:r>
    </w:p>
    <w:p w14:paraId="23971537" w14:textId="15FD598A" w:rsidR="0072261E" w:rsidRDefault="0072261E" w:rsidP="0072261E">
      <w:pPr>
        <w:pStyle w:val="ListParagrap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G=gravitational constant 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3360CD50" w14:textId="23B14929" w:rsidR="0072261E" w:rsidRDefault="0072261E" w:rsidP="0072261E">
      <w:pPr>
        <w:pStyle w:val="ListParagraph"/>
        <w:rPr>
          <w:rFonts w:eastAsiaTheme="minorEastAsia"/>
          <w:sz w:val="28"/>
          <w:szCs w:val="28"/>
        </w:rPr>
      </w:pPr>
    </w:p>
    <w:p w14:paraId="63506E3A" w14:textId="059EE2C2" w:rsidR="0072261E" w:rsidRDefault="0072261E" w:rsidP="0072261E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WR stars have a typical t</w:t>
      </w:r>
      <w:r>
        <w:rPr>
          <w:rFonts w:eastAsiaTheme="minorEastAsia"/>
          <w:sz w:val="28"/>
          <w:szCs w:val="28"/>
          <w:vertAlign w:val="subscript"/>
        </w:rPr>
        <w:t>ff</w:t>
      </w:r>
      <w:r>
        <w:rPr>
          <w:rFonts w:eastAsiaTheme="minorEastAsia"/>
          <w:sz w:val="28"/>
          <w:szCs w:val="28"/>
        </w:rPr>
        <w:t xml:space="preserve"> of 10s of seconds where BSGs have a t</w:t>
      </w:r>
      <w:r>
        <w:rPr>
          <w:rFonts w:eastAsiaTheme="minorEastAsia"/>
          <w:sz w:val="28"/>
          <w:szCs w:val="28"/>
          <w:vertAlign w:val="subscript"/>
        </w:rPr>
        <w:t>ff</w:t>
      </w:r>
      <w:r>
        <w:rPr>
          <w:rFonts w:eastAsiaTheme="minorEastAsia"/>
          <w:sz w:val="28"/>
          <w:szCs w:val="28"/>
        </w:rPr>
        <w:t xml:space="preserve"> of 10,000s of seconds [4] </w:t>
      </w:r>
    </w:p>
    <w:p w14:paraId="3B6DDF0E" w14:textId="589646D8" w:rsidR="00431602" w:rsidRPr="0072261E" w:rsidRDefault="00431602" w:rsidP="004316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“At core collapse</w:t>
      </w:r>
      <w:r w:rsidR="000854EF">
        <w:rPr>
          <w:rFonts w:eastAsiaTheme="minorEastAsia"/>
          <w:sz w:val="28"/>
          <w:szCs w:val="28"/>
        </w:rPr>
        <w:t>, such a BSG model can produce an accretion disk around a newly formed central object with an accretion timescale = 10</w:t>
      </w:r>
      <w:r w:rsidR="000854EF">
        <w:rPr>
          <w:rFonts w:eastAsiaTheme="minorEastAsia"/>
          <w:sz w:val="28"/>
          <w:szCs w:val="28"/>
          <w:vertAlign w:val="superscript"/>
        </w:rPr>
        <w:t>4</w:t>
      </w:r>
      <w:r w:rsidR="000854EF">
        <w:rPr>
          <w:rFonts w:eastAsiaTheme="minorEastAsia"/>
          <w:sz w:val="28"/>
          <w:szCs w:val="28"/>
        </w:rPr>
        <w:t>s.” [4]</w:t>
      </w:r>
    </w:p>
    <w:p w14:paraId="33E10260" w14:textId="43EE5E68" w:rsidR="00D362D8" w:rsidRDefault="00D362D8" w:rsidP="00D362D8">
      <w:pPr>
        <w:rPr>
          <w:sz w:val="28"/>
          <w:szCs w:val="28"/>
        </w:rPr>
      </w:pPr>
    </w:p>
    <w:p w14:paraId="2AA8A6B5" w14:textId="231028F3" w:rsidR="00D362D8" w:rsidRDefault="00D362D8" w:rsidP="00D362D8">
      <w:pPr>
        <w:rPr>
          <w:sz w:val="28"/>
          <w:szCs w:val="28"/>
        </w:rPr>
      </w:pPr>
    </w:p>
    <w:p w14:paraId="3DFFB8C9" w14:textId="11C3FAC6" w:rsidR="00D362D8" w:rsidRDefault="00D362D8" w:rsidP="00D362D8">
      <w:pPr>
        <w:rPr>
          <w:sz w:val="28"/>
          <w:szCs w:val="28"/>
        </w:rPr>
      </w:pPr>
      <w:r>
        <w:rPr>
          <w:sz w:val="28"/>
          <w:szCs w:val="28"/>
        </w:rPr>
        <w:t xml:space="preserve">References </w:t>
      </w:r>
    </w:p>
    <w:p w14:paraId="267840EB" w14:textId="34F38294" w:rsidR="00D362D8" w:rsidRDefault="00D362D8" w:rsidP="00D362D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8"/>
          <w:szCs w:val="28"/>
        </w:rPr>
        <w:t xml:space="preserve">[1]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Ducci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L et al., 2009. The structure of blue supergiant winds and the accretion in supergiant high-mass X-ray binaries.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Monthly Notices of the Royal Astronomical Society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[online] 398(4), pp.2152-2165. Available at: &lt;https://academic.oup.com/mnras/article/398/4/2152/983687&gt; [Accessed 12 February 2021].</w:t>
      </w:r>
    </w:p>
    <w:p w14:paraId="7CE5414D" w14:textId="6E6FBC93" w:rsidR="00D362D8" w:rsidRDefault="00D362D8" w:rsidP="00D362D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[2]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Sidoli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L., 2009. Transient outburst mechanisms in Supergiant Fast X-ray Transients.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Advances in Space Research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[online] 43(9), pp.1464-1470. Available at: &lt;https://www.sciencedirect.com/science/article/pii/S0273117709001410?via%3Dihub&gt; [Accessed 12 February 2021].</w:t>
      </w:r>
    </w:p>
    <w:p w14:paraId="4FA251E1" w14:textId="4EDDC3FB" w:rsidR="008C5D11" w:rsidRDefault="008C5D11" w:rsidP="00D362D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[3]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Oskinova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L., Hamann, W.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Feldmeier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A., 2007. Neglecting the porosity of hot-star winds can lead to underestimating mass-loss rates.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Astronomy &amp; Astrophysics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476(3), pp.1331-1340.</w:t>
      </w:r>
    </w:p>
    <w:p w14:paraId="2CB445C8" w14:textId="658B153D" w:rsidR="004E3C05" w:rsidRPr="00D362D8" w:rsidRDefault="004E3C05" w:rsidP="00D362D8">
      <w:pPr>
        <w:rPr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[4]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R.,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Lazzati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D. and Cantiello, M., 2018. Ultra-long Gamma-Ray Bursts from the Collapse of Blue Supergiant Stars: An End-to-end Simulation.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 Astrophysical Journal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859(1), p.48.</w:t>
      </w:r>
    </w:p>
    <w:sectPr w:rsidR="004E3C05" w:rsidRPr="00D36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86A31"/>
    <w:multiLevelType w:val="hybridMultilevel"/>
    <w:tmpl w:val="57DE465C"/>
    <w:lvl w:ilvl="0" w:tplc="9580F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03"/>
    <w:rsid w:val="00016AC5"/>
    <w:rsid w:val="000776C6"/>
    <w:rsid w:val="000854EF"/>
    <w:rsid w:val="000E4C51"/>
    <w:rsid w:val="001E7E0E"/>
    <w:rsid w:val="0023350F"/>
    <w:rsid w:val="0027411E"/>
    <w:rsid w:val="00431602"/>
    <w:rsid w:val="00496298"/>
    <w:rsid w:val="004E3C05"/>
    <w:rsid w:val="005171A7"/>
    <w:rsid w:val="0056304C"/>
    <w:rsid w:val="00565D68"/>
    <w:rsid w:val="00631491"/>
    <w:rsid w:val="0072261E"/>
    <w:rsid w:val="00840512"/>
    <w:rsid w:val="008C5D11"/>
    <w:rsid w:val="008E56D5"/>
    <w:rsid w:val="009E6603"/>
    <w:rsid w:val="00B0783D"/>
    <w:rsid w:val="00D107D8"/>
    <w:rsid w:val="00D362D8"/>
    <w:rsid w:val="00F3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336B"/>
  <w15:chartTrackingRefBased/>
  <w15:docId w15:val="{53BD36D4-01B8-440F-998A-DD10661D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6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310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226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Scattergood</dc:creator>
  <cp:keywords/>
  <dc:description/>
  <cp:lastModifiedBy>Thomas Scattergood</cp:lastModifiedBy>
  <cp:revision>10</cp:revision>
  <dcterms:created xsi:type="dcterms:W3CDTF">2021-02-12T11:11:00Z</dcterms:created>
  <dcterms:modified xsi:type="dcterms:W3CDTF">2021-04-11T12:49:00Z</dcterms:modified>
</cp:coreProperties>
</file>