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>Burp</w:t>
      </w:r>
      <w:r>
        <w:rPr>
          <w:lang w:val="en-US"/>
        </w:rPr>
        <w:t xml:space="preserve"> XML to OWASP 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document will </w:t>
      </w:r>
      <w:r>
        <w:rPr/>
        <w:t>show</w:t>
      </w:r>
      <w:r>
        <w:rPr/>
        <w:t xml:space="preserve"> some of the mapping between </w:t>
      </w:r>
      <w:r>
        <w:rPr/>
        <w:t>Burp</w:t>
      </w:r>
      <w:r>
        <w:rPr/>
        <w:t xml:space="preserve"> XML and OWASP DEF.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529"/>
        <w:gridCol w:w="5055"/>
      </w:tblGrid>
      <w:tr>
        <w:trPr>
          <w:cantSplit w:val="false"/>
        </w:trPr>
        <w:tc>
          <w:tcPr>
            <w:tcW w:w="958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</w:t>
            </w:r>
            <w:r>
              <w:rPr>
                <w:b/>
                <w:bCs/>
                <w:lang w:val="en-US"/>
              </w:rPr>
              <w:t>XML Fields and corresponding OWASP DEF fields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</w:t>
            </w:r>
            <w:r>
              <w:rPr>
                <w:b/>
                <w:bCs/>
                <w:lang w:val="en-US"/>
              </w:rPr>
              <w:t xml:space="preserve"> Field Name</w:t>
            </w:r>
          </w:p>
        </w:tc>
        <w:tc>
          <w:tcPr>
            <w:tcW w:w="5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burpVersion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"1.6"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exportTime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i/>
                <w:color w:val="2A00FF"/>
                <w:sz w:val="20"/>
              </w:rPr>
              <w:t>DateTime Stamp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Severity"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serialNumber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type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Summary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i/>
                <w:color w:val="2A00FF"/>
                <w:sz w:val="20"/>
              </w:rPr>
              <w:t>1.2.3.4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"Hostname"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"Either IPv4 or IPv6 Address"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location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severity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Vulnerability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Severity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Severity"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Confidence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remediationBackground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Description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issueDetailItems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issueDetailItem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remediationDetail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</w:t>
            </w:r>
            <w:r>
              <w:rPr>
                <w:b/>
                <w:bCs/>
                <w:lang w:val="en-US"/>
              </w:rPr>
              <w:t>XML Fields and corresponding OWASP DEF fields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</w:t>
            </w:r>
            <w:r>
              <w:rPr>
                <w:b/>
                <w:bCs/>
                <w:lang w:val="en-US"/>
              </w:rPr>
              <w:t xml:space="preserve"> Field Name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OWASP Def Field name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issues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burpVersion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"1.6"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exportTime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i/>
                <w:color w:val="2A00FF"/>
                <w:sz w:val="20"/>
              </w:rPr>
              <w:t>DateTime Stamp</w:t>
            </w:r>
            <w:r>
              <w:rPr>
                <w:rFonts w:ascii="Consolas" w:hAnsi="Consolas"/>
                <w:i/>
                <w:color w:val="2A00FF"/>
                <w:sz w:val="20"/>
              </w:rPr>
              <w:t>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Software-Name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Date-Time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Software-Version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item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time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Finding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NativeID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internal Test ID"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IdentifiedTimestamp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"DateTime stamp for when we found this vulnerability"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UniqueID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Software unique ID for this Finding"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"1.2.3.4"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Host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"Hostname"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ip-address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"Either IPv4 or IPv6 Address"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Protocol used"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Port Number"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protocol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Port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protocol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Protocol used"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portid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"The Port Number"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Method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URL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extension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Not sure what data this holds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"true"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Request-Raw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status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StatusCode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responselength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mimetype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color w:val="7F007F"/>
                <w:sz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i/>
                <w:color w:val="2A00FF"/>
                <w:sz w:val="20"/>
              </w:rPr>
              <w:t>"true"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Response-Raw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comment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Consolas" w:hAnsi="Consolas"/>
                <w:color w:val="008080"/>
                <w:sz w:val="20"/>
              </w:rPr>
            </w:pPr>
            <w:r>
              <w:rPr>
                <w:rFonts w:ascii="Consolas" w:hAnsi="Consolas"/>
                <w:color w:val="008080"/>
                <w:sz w:val="20"/>
              </w:rPr>
              <w:t>&lt;</w:t>
            </w:r>
            <w:r>
              <w:rPr>
                <w:rFonts w:ascii="Consolas" w:hAnsi="Consolas"/>
                <w:color w:val="3F7F7F"/>
                <w:sz w:val="20"/>
              </w:rPr>
              <w:t>Page-Reference</w:t>
            </w:r>
            <w:r>
              <w:rPr>
                <w:rFonts w:ascii="Consolas" w:hAnsi="Consolas"/>
                <w:color w:val="008080"/>
                <w:sz w:val="20"/>
              </w:rPr>
              <w:t>&gt;</w:t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5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