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libri" w:cs="Calibri" w:eastAsia="Calibri" w:hAnsi="Calibri"/>
          <w:b/>
          <w:bCs/>
          <w:color w:val="1F3A5F"/>
          <w:spacing w:val="60"/>
          <w:sz w:val="24"/>
          <w:szCs w:val="24"/>
        </w:rPr>
        <w:t xml:space="preserve">STANCHION SECURITY</w:t>
      </w:r>
    </w:p>
    <w:p>
      <w:pPr>
        <w:spacing w:after="400"/>
      </w:pPr>
      <w:r>
        <w:rPr>
          <w:rFonts w:ascii="Calibri" w:cs="Calibri" w:eastAsia="Calibri" w:hAnsi="Calibri"/>
          <w:color w:val="595959"/>
          <w:sz w:val="19"/>
          <w:szCs w:val="19"/>
        </w:rPr>
        <w:t xml:space="preserve">Cybersecurity &amp; AI Governance Advisory</w:t>
      </w:r>
    </w:p>
    <w:p>
      <w:pPr>
        <w:spacing w:after="100"/>
      </w:pPr>
      <w:r>
        <w:rPr>
          <w:rFonts w:ascii="Calibri" w:cs="Calibri" w:eastAsia="Calibri" w:hAnsi="Calibri"/>
          <w:b/>
          <w:bCs/>
          <w:sz w:val="48"/>
          <w:szCs w:val="48"/>
        </w:rPr>
        <w:t xml:space="preserve">AI Use Case Risk Assessment</w:t>
      </w:r>
    </w:p>
    <w:p>
      <w:pPr>
        <w:spacing w:after="300"/>
      </w:pPr>
      <w:r>
        <w:rPr>
          <w:rFonts w:ascii="Calibri" w:cs="Calibri" w:eastAsia="Calibri" w:hAnsi="Calibri"/>
          <w:color w:val="595959"/>
          <w:sz w:val="26"/>
          <w:szCs w:val="26"/>
        </w:rPr>
        <w:t xml:space="preserve">Assessment Methodology and Working Template</w:t>
      </w:r>
    </w:p>
    <w:p>
      <w:pPr>
        <w:spacing w:after="60"/>
      </w:pPr>
      <w:r>
        <w:rPr>
          <w:rFonts w:ascii="Calibri" w:cs="Calibri" w:eastAsia="Calibri" w:hAnsi="Calibri"/>
          <w:sz w:val="20"/>
          <w:szCs w:val="20"/>
        </w:rPr>
        <w:t xml:space="preserve">Sector focus: Health Plans, Health Systems, and Insurance Carriers</w:t>
      </w:r>
    </w:p>
    <w:p>
      <w:pPr>
        <w:spacing w:after="900"/>
      </w:pPr>
      <w:r>
        <w:rPr>
          <w:rFonts w:ascii="Calibri" w:cs="Calibri" w:eastAsia="Calibri" w:hAnsi="Calibri"/>
          <w:sz w:val="20"/>
          <w:szCs w:val="20"/>
        </w:rPr>
        <w:t xml:space="preserve">Aligned to NIST AI RMF 1.0 and ISO/IEC 42001</w:t>
      </w:r>
    </w:p>
    <w:p>
      <w:r>
        <w:rPr>
          <w:rFonts w:ascii="Calibri" w:cs="Calibri" w:eastAsia="Calibri" w:hAnsi="Calibri"/>
          <w:color w:val="595959"/>
          <w:sz w:val="18"/>
          <w:szCs w:val="18"/>
        </w:rPr>
        <w:t xml:space="preserve">Version 1.0  ·  Prepared by Tom Tolleson, Founder</w:t>
      </w:r>
    </w:p>
    <w:p>
      <w:r>
        <w:br w:type="page"/>
      </w:r>
    </w:p>
    <w:p>
      <w:pPr>
        <w:pBdr>
          <w:bottom w:val="single" w:color="1F3A5F" w:sz="10" w:space="3"/>
        </w:pBdr>
        <w:spacing w:after="120" w:before="320"/>
      </w:pPr>
      <w:r>
        <w:rPr>
          <w:rFonts w:ascii="Calibri" w:cs="Calibri" w:eastAsia="Calibri" w:hAnsi="Calibri"/>
          <w:b/>
          <w:bCs/>
          <w:color w:val="1F3A5F"/>
          <w:sz w:val="26"/>
          <w:szCs w:val="26"/>
        </w:rPr>
        <w:t xml:space="preserve">1. Purpose and Scope</w:t>
      </w:r>
    </w:p>
    <w:p>
      <w:pPr>
        <w:spacing w:after="100" w:line="264"/>
      </w:pPr>
      <w:r>
        <w:rPr>
          <w:rFonts w:ascii="Calibri" w:cs="Calibri" w:eastAsia="Calibri" w:hAnsi="Calibri"/>
          <w:sz w:val="20"/>
          <w:szCs w:val="20"/>
        </w:rPr>
        <w:t xml:space="preserve">This methodology produces a defensible, committee-ready risk assessment for a single AI use case. It is designed for organizations that have already begun deploying AI — or are being asked to approve a vendor tool — but lack a repeatable process for deciding whether a given deployment should proceed, under what conditions, and with what monitoring in place.</w:t>
      </w:r>
    </w:p>
    <w:p>
      <w:pPr>
        <w:spacing w:after="100" w:line="264"/>
      </w:pPr>
      <w:r>
        <w:rPr>
          <w:rFonts w:ascii="Calibri" w:cs="Calibri" w:eastAsia="Calibri" w:hAnsi="Calibri"/>
          <w:sz w:val="20"/>
          <w:szCs w:val="20"/>
        </w:rPr>
        <w:t xml:space="preserve">The output is a decision document, not a research paper. It ends with an explicit disposition — approve, approve with conditions, or reject — and a residual risk statement that an accountable executive signs. If the assessment does not support a decision, it has failed.</w:t>
      </w:r>
    </w:p>
    <w:p>
      <w:pPr>
        <w:spacing w:after="90" w:before="240"/>
      </w:pPr>
      <w:r>
        <w:rPr>
          <w:rFonts w:ascii="Calibri" w:cs="Calibri" w:eastAsia="Calibri" w:hAnsi="Calibri"/>
          <w:b/>
          <w:bCs/>
          <w:color w:val="222222"/>
          <w:sz w:val="22"/>
          <w:szCs w:val="22"/>
        </w:rPr>
        <w:t xml:space="preserve">What this methodology is not</w:t>
      </w:r>
    </w:p>
    <w:p>
      <w:pPr>
        <w:pStyle w:val="ListParagraph"/>
        <w:numPr>
          <w:ilvl w:val="0"/>
          <w:numId w:val="1"/>
        </w:numPr>
        <w:spacing w:after="60" w:line="264"/>
        <w:ind w:left="300" w:hanging="220"/>
      </w:pPr>
      <w:r>
        <w:rPr>
          <w:rFonts w:ascii="Calibri" w:cs="Calibri" w:eastAsia="Calibri" w:hAnsi="Calibri"/>
          <w:sz w:val="20"/>
          <w:szCs w:val="20"/>
        </w:rPr>
        <w:t xml:space="preserve">It is not a full AI governance program build. It assesses individual use cases. A program build establishes the standing bodies, policies, and inventory that this assessment plugs into.</w:t>
      </w:r>
    </w:p>
    <w:p>
      <w:pPr>
        <w:pStyle w:val="ListParagraph"/>
        <w:numPr>
          <w:ilvl w:val="0"/>
          <w:numId w:val="1"/>
        </w:numPr>
        <w:spacing w:after="60" w:line="264"/>
        <w:ind w:left="300" w:hanging="220"/>
      </w:pPr>
      <w:r>
        <w:rPr>
          <w:rFonts w:ascii="Calibri" w:cs="Calibri" w:eastAsia="Calibri" w:hAnsi="Calibri"/>
          <w:sz w:val="20"/>
          <w:szCs w:val="20"/>
        </w:rPr>
        <w:t xml:space="preserve">It is not a model validation or statistical audit. It defines what must be tested, by whom, at what threshold, and how often. Execution of those tests sits with the model owner or an independent validation function.</w:t>
      </w:r>
    </w:p>
    <w:p>
      <w:pPr>
        <w:pStyle w:val="ListParagraph"/>
        <w:numPr>
          <w:ilvl w:val="0"/>
          <w:numId w:val="1"/>
        </w:numPr>
        <w:spacing w:after="60" w:line="264"/>
        <w:ind w:left="300" w:hanging="220"/>
      </w:pPr>
      <w:r>
        <w:rPr>
          <w:rFonts w:ascii="Calibri" w:cs="Calibri" w:eastAsia="Calibri" w:hAnsi="Calibri"/>
          <w:sz w:val="20"/>
          <w:szCs w:val="20"/>
        </w:rPr>
        <w:t xml:space="preserve">It is not legal advice. Regulatory mapping identifies applicable obligations for counsel to confirm.</w:t>
      </w:r>
    </w:p>
    <w:p>
      <w:pPr>
        <w:spacing w:after="90" w:before="240"/>
      </w:pPr>
      <w:r>
        <w:rPr>
          <w:rFonts w:ascii="Calibri" w:cs="Calibri" w:eastAsia="Calibri" w:hAnsi="Calibri"/>
          <w:b/>
          <w:bCs/>
          <w:color w:val="222222"/>
          <w:sz w:val="22"/>
          <w:szCs w:val="22"/>
        </w:rPr>
        <w:t xml:space="preserve">Typical engagement shape</w:t>
      </w:r>
    </w:p>
    <w:p>
      <w:pPr>
        <w:spacing w:after="100" w:line="264"/>
      </w:pPr>
      <w:r>
        <w:rPr>
          <w:rFonts w:ascii="Calibri" w:cs="Calibri" w:eastAsia="Calibri" w:hAnsi="Calibri"/>
          <w:sz w:val="20"/>
          <w:szCs w:val="20"/>
        </w:rPr>
        <w:t xml:space="preserve">Two to three weeks per use case. Week one: intake, document review, and stakeholder interviews. Week two: drafting, control gap analysis, and regulatory mapping. Week three: review cycle with the model owner and accountable executive, then final disposition memo.</w:t>
      </w:r>
    </w:p>
    <w:p>
      <w:pPr>
        <w:spacing w:after="90" w:before="240"/>
      </w:pPr>
      <w:r>
        <w:rPr>
          <w:rFonts w:ascii="Calibri" w:cs="Calibri" w:eastAsia="Calibri" w:hAnsi="Calibri"/>
          <w:b/>
          <w:bCs/>
          <w:color w:val="222222"/>
          <w:sz w:val="22"/>
          <w:szCs w:val="22"/>
        </w:rPr>
        <w:t xml:space="preserve">Required participants</w:t>
      </w:r>
    </w:p>
    <w:p>
      <w:pPr>
        <w:pStyle w:val="ListParagraph"/>
        <w:numPr>
          <w:ilvl w:val="0"/>
          <w:numId w:val="1"/>
        </w:numPr>
        <w:spacing w:after="60" w:line="264"/>
        <w:ind w:left="300" w:hanging="220"/>
      </w:pPr>
      <w:r>
        <w:rPr>
          <w:rFonts w:ascii="Calibri" w:cs="Calibri" w:eastAsia="Calibri" w:hAnsi="Calibri"/>
          <w:sz w:val="20"/>
          <w:szCs w:val="20"/>
        </w:rPr>
        <w:t xml:space="preserve">Business owner of the use case — accountable for the decision the AI supports</w:t>
      </w:r>
    </w:p>
    <w:p>
      <w:pPr>
        <w:pStyle w:val="ListParagraph"/>
        <w:numPr>
          <w:ilvl w:val="0"/>
          <w:numId w:val="1"/>
        </w:numPr>
        <w:spacing w:after="60" w:line="264"/>
        <w:ind w:left="300" w:hanging="220"/>
      </w:pPr>
      <w:r>
        <w:rPr>
          <w:rFonts w:ascii="Calibri" w:cs="Calibri" w:eastAsia="Calibri" w:hAnsi="Calibri"/>
          <w:sz w:val="20"/>
          <w:szCs w:val="20"/>
        </w:rPr>
        <w:t xml:space="preserve">Model or product owner — accountable for system behavior</w:t>
      </w:r>
    </w:p>
    <w:p>
      <w:pPr>
        <w:pStyle w:val="ListParagraph"/>
        <w:numPr>
          <w:ilvl w:val="0"/>
          <w:numId w:val="1"/>
        </w:numPr>
        <w:spacing w:after="60" w:line="264"/>
        <w:ind w:left="300" w:hanging="220"/>
      </w:pPr>
      <w:r>
        <w:rPr>
          <w:rFonts w:ascii="Calibri" w:cs="Calibri" w:eastAsia="Calibri" w:hAnsi="Calibri"/>
          <w:sz w:val="20"/>
          <w:szCs w:val="20"/>
        </w:rPr>
        <w:t xml:space="preserve">Clinical or actuarial subject matter expert, where the use case touches medical necessity or rating</w:t>
      </w:r>
    </w:p>
    <w:p>
      <w:pPr>
        <w:pStyle w:val="ListParagraph"/>
        <w:numPr>
          <w:ilvl w:val="0"/>
          <w:numId w:val="1"/>
        </w:numPr>
        <w:spacing w:after="60" w:line="264"/>
        <w:ind w:left="300" w:hanging="220"/>
      </w:pPr>
      <w:r>
        <w:rPr>
          <w:rFonts w:ascii="Calibri" w:cs="Calibri" w:eastAsia="Calibri" w:hAnsi="Calibri"/>
          <w:sz w:val="20"/>
          <w:szCs w:val="20"/>
        </w:rPr>
        <w:t xml:space="preserve">Privacy and information security representatives</w:t>
      </w:r>
    </w:p>
    <w:p>
      <w:pPr>
        <w:pStyle w:val="ListParagraph"/>
        <w:numPr>
          <w:ilvl w:val="0"/>
          <w:numId w:val="1"/>
        </w:numPr>
        <w:spacing w:after="60" w:line="264"/>
        <w:ind w:left="300" w:hanging="220"/>
      </w:pPr>
      <w:r>
        <w:rPr>
          <w:rFonts w:ascii="Calibri" w:cs="Calibri" w:eastAsia="Calibri" w:hAnsi="Calibri"/>
          <w:sz w:val="20"/>
          <w:szCs w:val="20"/>
        </w:rPr>
        <w:t xml:space="preserve">Legal or compliance representative</w:t>
      </w:r>
    </w:p>
    <w:p>
      <w:pPr>
        <w:pStyle w:val="ListParagraph"/>
        <w:numPr>
          <w:ilvl w:val="0"/>
          <w:numId w:val="1"/>
        </w:numPr>
        <w:spacing w:after="60" w:line="264"/>
        <w:ind w:left="300" w:hanging="220"/>
      </w:pPr>
      <w:r>
        <w:rPr>
          <w:rFonts w:ascii="Calibri" w:cs="Calibri" w:eastAsia="Calibri" w:hAnsi="Calibri"/>
          <w:sz w:val="20"/>
          <w:szCs w:val="20"/>
        </w:rPr>
        <w:t xml:space="preserve">Vendor technical contact, where the system is third-party</w:t>
      </w:r>
    </w:p>
    <w:p>
      <w:pPr>
        <w:pBdr>
          <w:bottom w:val="single" w:color="1F3A5F" w:sz="10" w:space="3"/>
        </w:pBdr>
        <w:spacing w:after="120" w:before="320"/>
      </w:pPr>
      <w:r>
        <w:rPr>
          <w:rFonts w:ascii="Calibri" w:cs="Calibri" w:eastAsia="Calibri" w:hAnsi="Calibri"/>
          <w:b/>
          <w:bCs/>
          <w:color w:val="1F3A5F"/>
          <w:sz w:val="26"/>
          <w:szCs w:val="26"/>
        </w:rPr>
        <w:t xml:space="preserve">2. Use Case Intake</w:t>
      </w:r>
    </w:p>
    <w:p>
      <w:pPr>
        <w:spacing w:after="100" w:line="264"/>
      </w:pPr>
      <w:r>
        <w:rPr>
          <w:rFonts w:ascii="Calibri" w:cs="Calibri" w:eastAsia="Calibri" w:hAnsi="Calibri"/>
          <w:sz w:val="20"/>
          <w:szCs w:val="20"/>
        </w:rPr>
        <w:t xml:space="preserve">The intake section establishes what is actually being assessed. Ambiguity here propagates through the entire document. The most common failure is assessing "the vendor platform" rather than a specific decision the platform supports.</w:t>
      </w:r>
    </w:p>
    <w:p>
      <w:pPr>
        <w:spacing w:after="90" w:before="240"/>
      </w:pPr>
      <w:r>
        <w:rPr>
          <w:rFonts w:ascii="Calibri" w:cs="Calibri" w:eastAsia="Calibri" w:hAnsi="Calibri"/>
          <w:b/>
          <w:bCs/>
          <w:color w:val="222222"/>
          <w:sz w:val="22"/>
          <w:szCs w:val="22"/>
        </w:rPr>
        <w:t xml:space="preserve">2.1 Use case definition</w:t>
      </w:r>
    </w:p>
    <w:p>
      <w:pPr>
        <w:pBdr>
          <w:left w:val="single" w:color="BBBBBB" w:sz="12" w:space="8"/>
        </w:pBdr>
        <w:spacing w:after="90" w:line="264"/>
        <w:ind w:left="240"/>
      </w:pPr>
      <w:r>
        <w:rPr>
          <w:rFonts w:ascii="Calibri" w:cs="Calibri" w:eastAsia="Calibri" w:hAnsi="Calibri"/>
          <w:i/>
          <w:iCs/>
          <w:color w:val="595959"/>
          <w:sz w:val="19"/>
          <w:szCs w:val="19"/>
        </w:rPr>
        <w:t xml:space="preserve">State in one sentence the decision or task the AI system supports, and who or what is affected by the output.</w:t>
      </w:r>
    </w:p>
    <w:p>
      <w:pPr>
        <w:pBdr>
          <w:left w:val="single" w:color="BBBBBB" w:sz="12" w:space="8"/>
        </w:pBdr>
        <w:spacing w:after="90" w:line="264"/>
        <w:ind w:left="240"/>
      </w:pPr>
      <w:r>
        <w:rPr>
          <w:rFonts w:ascii="Calibri" w:cs="Calibri" w:eastAsia="Calibri" w:hAnsi="Calibri"/>
          <w:i/>
          <w:iCs/>
          <w:color w:val="595959"/>
          <w:sz w:val="19"/>
          <w:szCs w:val="19"/>
        </w:rPr>
        <w:t xml:space="preserve">Identify the specific business process this sits inside, including the step immediately before and after the AI output.</w:t>
      </w:r>
    </w:p>
    <w:p>
      <w:pPr>
        <w:pBdr>
          <w:left w:val="single" w:color="BBBBBB" w:sz="12" w:space="8"/>
        </w:pBdr>
        <w:spacing w:after="90" w:line="264"/>
        <w:ind w:left="240"/>
      </w:pPr>
      <w:r>
        <w:rPr>
          <w:rFonts w:ascii="Calibri" w:cs="Calibri" w:eastAsia="Calibri" w:hAnsi="Calibri"/>
          <w:i/>
          <w:iCs/>
          <w:color w:val="595959"/>
          <w:sz w:val="19"/>
          <w:szCs w:val="19"/>
        </w:rPr>
        <w:t xml:space="preserve">State whether the system recommends, decides, drafts, ranks, classifies, or summarizes. These carry materially different risk profiles.</w:t>
      </w:r>
    </w:p>
    <w:p>
      <w:pPr>
        <w:spacing w:after="90" w:before="240"/>
      </w:pPr>
      <w:r>
        <w:rPr>
          <w:rFonts w:ascii="Calibri" w:cs="Calibri" w:eastAsia="Calibri" w:hAnsi="Calibri"/>
          <w:b/>
          <w:bCs/>
          <w:color w:val="222222"/>
          <w:sz w:val="22"/>
          <w:szCs w:val="22"/>
        </w:rPr>
        <w:t xml:space="preserve">2.2 System characteristics</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Attribute</w:t>
            </w:r>
          </w:p>
        </w:tc>
        <w:tc>
          <w:tcPr>
            <w:tcW w:type="pct" w:w="3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Response</w:t>
            </w:r>
          </w:p>
        </w:tc>
        <w:tc>
          <w:tcPr>
            <w:tcW w:type="pct" w:w="44%"/>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Notes</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Build or buy</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Vendor name and product if procured</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Model type</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e.g. LLM, gradient-boosted classifier, rules engine with ML component</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Foundation model provider</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If applicable, including hosting arrangement</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Training data provenance</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Organization data, vendor data, public data, or combination</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Fine-tuned or customized</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Describe customization and on what data</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Retrieval or grounding sources</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For RAG systems: what corpora, refresh cadence, access controls</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Deployment environment</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Cloud, on-premise, vendor-hosted; data residency</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 classes processed</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PHI, PII, financial, claims, clinical notes, other</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Volume and cadence</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Decisions or outputs per day at steady state</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Population affected</w:t>
            </w:r>
          </w:p>
        </w:tc>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4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Size and characteristics of the affected group</w:t>
            </w:r>
          </w:p>
        </w:tc>
      </w:tr>
    </w:tbl>
    <w:p>
      <w:pPr>
        <w:spacing w:after="160"/>
      </w:pPr>
      <w:r>
        <w:rPr>
          <w:sz w:val="12"/>
          <w:szCs w:val="12"/>
        </w:rPr>
        <w:t xml:space="preserve"/>
      </w:r>
    </w:p>
    <w:p>
      <w:pPr>
        <w:spacing w:after="90" w:before="240"/>
      </w:pPr>
      <w:r>
        <w:rPr>
          <w:rFonts w:ascii="Calibri" w:cs="Calibri" w:eastAsia="Calibri" w:hAnsi="Calibri"/>
          <w:b/>
          <w:bCs/>
          <w:color w:val="222222"/>
          <w:sz w:val="22"/>
          <w:szCs w:val="22"/>
        </w:rPr>
        <w:t xml:space="preserve">2.3 Autonomy and agency</w:t>
      </w:r>
    </w:p>
    <w:p>
      <w:pPr>
        <w:spacing w:after="100" w:line="264"/>
      </w:pPr>
      <w:r>
        <w:rPr>
          <w:rFonts w:ascii="Calibri" w:cs="Calibri" w:eastAsia="Calibri" w:hAnsi="Calibri"/>
          <w:sz w:val="20"/>
          <w:szCs w:val="20"/>
        </w:rPr>
        <w:t xml:space="preserve">Assess separately from model type. A conservative model with unconstrained action authority may present more risk than a sophisticated one that only drafts.</w:t>
      </w:r>
    </w:p>
    <w:p>
      <w:pPr>
        <w:pStyle w:val="ListParagraph"/>
        <w:numPr>
          <w:ilvl w:val="0"/>
          <w:numId w:val="1"/>
        </w:numPr>
        <w:spacing w:after="60" w:line="264"/>
        <w:ind w:left="300" w:hanging="220"/>
      </w:pPr>
      <w:r>
        <w:rPr>
          <w:rFonts w:ascii="Calibri" w:cs="Calibri" w:eastAsia="Calibri" w:hAnsi="Calibri"/>
          <w:sz w:val="20"/>
          <w:szCs w:val="20"/>
        </w:rPr>
        <w:t xml:space="preserve">Does the system take actions, or only produce outputs a human acts on?</w:t>
      </w:r>
    </w:p>
    <w:p>
      <w:pPr>
        <w:pStyle w:val="ListParagraph"/>
        <w:numPr>
          <w:ilvl w:val="0"/>
          <w:numId w:val="1"/>
        </w:numPr>
        <w:spacing w:after="60" w:line="264"/>
        <w:ind w:left="300" w:hanging="220"/>
      </w:pPr>
      <w:r>
        <w:rPr>
          <w:rFonts w:ascii="Calibri" w:cs="Calibri" w:eastAsia="Calibri" w:hAnsi="Calibri"/>
          <w:sz w:val="20"/>
          <w:szCs w:val="20"/>
        </w:rPr>
        <w:t xml:space="preserve">Can it write to systems of record, send external communications, or invoke other tools?</w:t>
      </w:r>
    </w:p>
    <w:p>
      <w:pPr>
        <w:pStyle w:val="ListParagraph"/>
        <w:numPr>
          <w:ilvl w:val="0"/>
          <w:numId w:val="1"/>
        </w:numPr>
        <w:spacing w:after="60" w:line="264"/>
        <w:ind w:left="300" w:hanging="220"/>
      </w:pPr>
      <w:r>
        <w:rPr>
          <w:rFonts w:ascii="Calibri" w:cs="Calibri" w:eastAsia="Calibri" w:hAnsi="Calibri"/>
          <w:sz w:val="20"/>
          <w:szCs w:val="20"/>
        </w:rPr>
        <w:t xml:space="preserve">Are there hard-coded action boundaries, and where are they enforced — application layer, model layer, or policy only?</w:t>
      </w:r>
    </w:p>
    <w:p>
      <w:pPr>
        <w:pStyle w:val="ListParagraph"/>
        <w:numPr>
          <w:ilvl w:val="0"/>
          <w:numId w:val="1"/>
        </w:numPr>
        <w:spacing w:after="60" w:line="264"/>
        <w:ind w:left="300" w:hanging="220"/>
      </w:pPr>
      <w:r>
        <w:rPr>
          <w:rFonts w:ascii="Calibri" w:cs="Calibri" w:eastAsia="Calibri" w:hAnsi="Calibri"/>
          <w:sz w:val="20"/>
          <w:szCs w:val="20"/>
        </w:rPr>
        <w:t xml:space="preserve">Can it operate on a schedule or trigger itself without human initiation?</w:t>
      </w:r>
    </w:p>
    <w:p>
      <w:pPr>
        <w:pBdr>
          <w:bottom w:val="single" w:color="1F3A5F" w:sz="10" w:space="3"/>
        </w:pBdr>
        <w:spacing w:after="120" w:before="320"/>
      </w:pPr>
      <w:r>
        <w:rPr>
          <w:rFonts w:ascii="Calibri" w:cs="Calibri" w:eastAsia="Calibri" w:hAnsi="Calibri"/>
          <w:b/>
          <w:bCs/>
          <w:color w:val="1F3A5F"/>
          <w:sz w:val="26"/>
          <w:szCs w:val="26"/>
        </w:rPr>
        <w:t xml:space="preserve">3. Risk Tiering</w:t>
      </w:r>
    </w:p>
    <w:p>
      <w:pPr>
        <w:spacing w:after="100" w:line="264"/>
      </w:pPr>
      <w:r>
        <w:rPr>
          <w:rFonts w:ascii="Calibri" w:cs="Calibri" w:eastAsia="Calibri" w:hAnsi="Calibri"/>
          <w:sz w:val="20"/>
          <w:szCs w:val="20"/>
        </w:rPr>
        <w:t xml:space="preserve">Tiering determines the depth of controls, the seniority of the approver, and the monitoring cadence. Tier assignment is a judgment call, but the rationale must be written down and must survive challenge.</w:t>
      </w:r>
    </w:p>
    <w:p>
      <w:pPr>
        <w:spacing w:after="90" w:before="240"/>
      </w:pPr>
      <w:r>
        <w:rPr>
          <w:rFonts w:ascii="Calibri" w:cs="Calibri" w:eastAsia="Calibri" w:hAnsi="Calibri"/>
          <w:b/>
          <w:bCs/>
          <w:color w:val="222222"/>
          <w:sz w:val="22"/>
          <w:szCs w:val="22"/>
        </w:rPr>
        <w:t xml:space="preserve">3.1 Tiering dimensions</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Dimension</w:t>
            </w:r>
          </w:p>
        </w:tc>
        <w:tc>
          <w:tcPr>
            <w:tcW w:type="pct" w:w="3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Question</w:t>
            </w:r>
          </w:p>
        </w:tc>
        <w:tc>
          <w:tcPr>
            <w:tcW w:type="pct" w:w="4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Elevating factors</w:t>
            </w:r>
          </w:p>
        </w:tc>
      </w:tr>
      <w:tr>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Consequence severity</w:t>
            </w:r>
          </w:p>
        </w:tc>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What is the worst realistic outcome of a wrong output?</w:t>
            </w:r>
          </w:p>
        </w:tc>
        <w:tc>
          <w:tcPr>
            <w:tcW w:type="pct" w:w="4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Denial or delay of medically necessary care; incorrect rating or underwriting; safety impact</w:t>
            </w:r>
          </w:p>
        </w:tc>
      </w:tr>
      <w:tr>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Reversibility</w:t>
            </w:r>
          </w:p>
        </w:tc>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How readily is an error detected and undone?</w:t>
            </w:r>
          </w:p>
        </w:tc>
        <w:tc>
          <w:tcPr>
            <w:tcW w:type="pct" w:w="4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Errors invisible to the affected person; no appeal path; downstream actions compound</w:t>
            </w:r>
          </w:p>
        </w:tc>
      </w:tr>
      <w:tr>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Human oversight quality</w:t>
            </w:r>
          </w:p>
        </w:tc>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 the reviewer meaningfully override?</w:t>
            </w:r>
          </w:p>
        </w:tc>
        <w:tc>
          <w:tcPr>
            <w:tcW w:type="pct" w:w="4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Volume or time pressure makes review nominal; reviewer lacks information or standing to dissent</w:t>
            </w:r>
          </w:p>
        </w:tc>
      </w:tr>
      <w:tr>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Population scale and vulnerability</w:t>
            </w:r>
          </w:p>
        </w:tc>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Who is affected and how many?</w:t>
            </w:r>
          </w:p>
        </w:tc>
        <w:tc>
          <w:tcPr>
            <w:tcW w:type="pct" w:w="4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Protected classes; patients; large automated volume</w:t>
            </w:r>
          </w:p>
        </w:tc>
      </w:tr>
      <w:tr>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Regulatory exposure</w:t>
            </w:r>
          </w:p>
        </w:tc>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Are there use-case-specific legal obligations?</w:t>
            </w:r>
          </w:p>
        </w:tc>
        <w:tc>
          <w:tcPr>
            <w:tcW w:type="pct" w:w="4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Utilization review; rating and underwriting; clinical decision support</w:t>
            </w:r>
          </w:p>
        </w:tc>
      </w:tr>
      <w:tr>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Contestability</w:t>
            </w:r>
          </w:p>
        </w:tc>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Can the decision be explained and challenged?</w:t>
            </w:r>
          </w:p>
        </w:tc>
        <w:tc>
          <w:tcPr>
            <w:tcW w:type="pct" w:w="4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Opaque model; no rationale surfaced to affected party</w:t>
            </w:r>
          </w:p>
        </w:tc>
      </w:tr>
    </w:tbl>
    <w:p>
      <w:pPr>
        <w:spacing w:after="160"/>
      </w:pPr>
      <w:r>
        <w:rPr>
          <w:sz w:val="12"/>
          <w:szCs w:val="12"/>
        </w:rPr>
        <w:t xml:space="preserve"/>
      </w:r>
    </w:p>
    <w:p>
      <w:pPr>
        <w:spacing w:after="90" w:before="240"/>
      </w:pPr>
      <w:r>
        <w:rPr>
          <w:rFonts w:ascii="Calibri" w:cs="Calibri" w:eastAsia="Calibri" w:hAnsi="Calibri"/>
          <w:b/>
          <w:bCs/>
          <w:color w:val="222222"/>
          <w:sz w:val="22"/>
          <w:szCs w:val="22"/>
        </w:rPr>
        <w:t xml:space="preserve">3.2 Tier definitions</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Tier</w:t>
            </w:r>
          </w:p>
        </w:tc>
        <w:tc>
          <w:tcPr>
            <w:tcW w:type="pct" w:w="4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Description</w:t>
            </w:r>
          </w:p>
        </w:tc>
        <w:tc>
          <w:tcPr>
            <w:tcW w:type="pct" w:w="4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Governance response</w:t>
            </w:r>
          </w:p>
        </w:tc>
      </w:tr>
      <w:tr>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Tier 1 — Critical</w:t>
            </w:r>
          </w:p>
        </w:tc>
        <w:tc>
          <w:tcPr>
            <w:tcW w:type="pct" w:w="4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Directly determines or materially shapes an individual outcome with legal, financial, or health consequence</w:t>
            </w:r>
          </w:p>
        </w:tc>
        <w:tc>
          <w:tcPr>
            <w:tcW w:type="pct" w:w="4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Full assessment; executive risk committee approval; independent validation; continuous monitoring; documented human review</w:t>
            </w:r>
          </w:p>
        </w:tc>
      </w:tr>
      <w:tr>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Tier 2 — Elevated</w:t>
            </w:r>
          </w:p>
        </w:tc>
        <w:tc>
          <w:tcPr>
            <w:tcW w:type="pct" w:w="4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Materially informs a consequential decision, with substantive human adjudication</w:t>
            </w:r>
          </w:p>
        </w:tc>
        <w:tc>
          <w:tcPr>
            <w:tcW w:type="pct" w:w="4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Full assessment; functional executive approval; periodic validation; scheduled monitoring</w:t>
            </w:r>
          </w:p>
        </w:tc>
      </w:tr>
      <w:tr>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Tier 3 — Moderate</w:t>
            </w:r>
          </w:p>
        </w:tc>
        <w:tc>
          <w:tcPr>
            <w:tcW w:type="pct" w:w="4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Supports internal work products with limited external consequence</w:t>
            </w:r>
          </w:p>
        </w:tc>
        <w:tc>
          <w:tcPr>
            <w:tcW w:type="pct" w:w="4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Abbreviated assessment; owner attestation; annual review</w:t>
            </w:r>
          </w:p>
        </w:tc>
      </w:tr>
      <w:tr>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Tier 4 — Limited</w:t>
            </w:r>
          </w:p>
        </w:tc>
        <w:tc>
          <w:tcPr>
            <w:tcW w:type="pct" w:w="4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Productivity use with no consequential decision and no regulated data</w:t>
            </w:r>
          </w:p>
        </w:tc>
        <w:tc>
          <w:tcPr>
            <w:tcW w:type="pct" w:w="4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Registration in inventory; acceptable use policy only</w:t>
            </w:r>
          </w:p>
        </w:tc>
      </w:tr>
    </w:tbl>
    <w:p>
      <w:pPr>
        <w:spacing w:after="160"/>
      </w:pPr>
      <w:r>
        <w:rPr>
          <w:sz w:val="12"/>
          <w:szCs w:val="12"/>
        </w:rPr>
        <w:t xml:space="preserve"/>
      </w:r>
    </w:p>
    <w:p>
      <w:pPr>
        <w:shd w:fill="FFF4E0" w:val="clear"/>
        <w:spacing w:after="120" w:before="80" w:line="264"/>
        <w:ind w:left="120" w:right="120"/>
      </w:pPr>
      <w:r>
        <w:rPr>
          <w:rFonts w:ascii="Calibri" w:cs="Calibri" w:eastAsia="Calibri" w:hAnsi="Calibri"/>
          <w:b/>
          <w:bCs/>
          <w:color w:val="8A5A00"/>
          <w:sz w:val="18"/>
          <w:szCs w:val="18"/>
        </w:rPr>
        <w:t xml:space="preserve">ANALYST INPUT REQUIRED — </w:t>
      </w:r>
      <w:r>
        <w:rPr>
          <w:rFonts w:ascii="Calibri" w:cs="Calibri" w:eastAsia="Calibri" w:hAnsi="Calibri"/>
          <w:color w:val="8A5A00"/>
          <w:sz w:val="18"/>
          <w:szCs w:val="18"/>
        </w:rPr>
        <w:t xml:space="preserve">Assign the tier and write two to four sentences of rationale. Name the dimension that drove the assignment. If a reasonable reviewer could argue for an adjacent tier, say so and explain why you landed where you did. This paragraph is the most scrutinized part of the document.</w:t>
      </w:r>
    </w:p>
    <w:p>
      <w:pPr>
        <w:pBdr>
          <w:bottom w:val="single" w:color="1F3A5F" w:sz="10" w:space="3"/>
        </w:pBdr>
        <w:spacing w:after="120" w:before="320"/>
      </w:pPr>
      <w:r>
        <w:rPr>
          <w:rFonts w:ascii="Calibri" w:cs="Calibri" w:eastAsia="Calibri" w:hAnsi="Calibri"/>
          <w:b/>
          <w:bCs/>
          <w:color w:val="1F3A5F"/>
          <w:sz w:val="26"/>
          <w:szCs w:val="26"/>
        </w:rPr>
        <w:t xml:space="preserve">4. Regulatory Mapping</w:t>
      </w:r>
    </w:p>
    <w:p>
      <w:pPr>
        <w:spacing w:after="100" w:line="264"/>
      </w:pPr>
      <w:r>
        <w:rPr>
          <w:rFonts w:ascii="Calibri" w:cs="Calibri" w:eastAsia="Calibri" w:hAnsi="Calibri"/>
          <w:sz w:val="20"/>
          <w:szCs w:val="20"/>
        </w:rPr>
        <w:t xml:space="preserve">This section identifies obligations that attach to the use case, distinguishing binding requirements from expectations and guidance. It is scoped to the jurisdictions in which the organization operates and the lines of business affected.</w:t>
      </w:r>
    </w:p>
    <w:p>
      <w:pPr>
        <w:spacing w:after="100" w:line="264"/>
      </w:pPr>
      <w:r>
        <w:rPr>
          <w:rFonts w:ascii="Calibri" w:cs="Calibri" w:eastAsia="Calibri" w:hAnsi="Calibri"/>
          <w:sz w:val="20"/>
          <w:szCs w:val="20"/>
        </w:rPr>
        <w:t xml:space="preserve">The reference material below covers AI in utilization review, prior authorization, and claims — the most densely regulated healthcare AI use case as of this writing. For other use cases, the same structure applies with different sources.</w:t>
      </w:r>
    </w:p>
    <w:p>
      <w:pPr>
        <w:spacing w:after="90" w:before="240"/>
      </w:pPr>
      <w:r>
        <w:rPr>
          <w:rFonts w:ascii="Calibri" w:cs="Calibri" w:eastAsia="Calibri" w:hAnsi="Calibri"/>
          <w:b/>
          <w:bCs/>
          <w:color w:val="222222"/>
          <w:sz w:val="22"/>
          <w:szCs w:val="22"/>
        </w:rPr>
        <w:t xml:space="preserve">4.1 Cross-cutting frameworks</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Source</w:t>
            </w:r>
          </w:p>
        </w:tc>
        <w:tc>
          <w:tcPr>
            <w:tcW w:type="pct" w:w="2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Status</w:t>
            </w:r>
          </w:p>
        </w:tc>
        <w:tc>
          <w:tcPr>
            <w:tcW w:type="pct" w:w="5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Relevance</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NIST AI Risk Management Framework 1.0</w:t>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Voluntary</w:t>
            </w:r>
          </w:p>
        </w:tc>
        <w:tc>
          <w:tcPr>
            <w:tcW w:type="pct" w:w="5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Structures the assessment: Govern, Map, Measure, Manage. Increasingly referenced as the expected standard of care</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ISO/IEC 42001</w:t>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Certifiable standard</w:t>
            </w:r>
          </w:p>
        </w:tc>
        <w:tc>
          <w:tcPr>
            <w:tcW w:type="pct" w:w="5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AI management system requirements; basis for readiness assessment and third-party assurance</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NAIC Model Bulletin on AI Use by Insurers (2023)</w:t>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Adopted as guidance in 25+ states as of April 2026</w:t>
            </w:r>
          </w:p>
        </w:tc>
        <w:tc>
          <w:tcPr>
            <w:tcW w:type="pct" w:w="5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Applies across the insurance lifecycle — claims, fraud, product, rating. Establishes that AI-supported consumer-facing decisions must comply with existing insurance law including unfair trade practice and anti-discrimination provisions</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HIPAA Privacy and Security Rules</w:t>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Binding</w:t>
            </w:r>
          </w:p>
        </w:tc>
        <w:tc>
          <w:tcPr>
            <w:tcW w:type="pct" w:w="5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PHI use, minimum necessary, business associate obligations for vendor-hosted systems</w:t>
            </w:r>
          </w:p>
        </w:tc>
      </w:tr>
    </w:tbl>
    <w:p>
      <w:pPr>
        <w:spacing w:after="160"/>
      </w:pPr>
      <w:r>
        <w:rPr>
          <w:sz w:val="12"/>
          <w:szCs w:val="12"/>
        </w:rPr>
        <w:t xml:space="preserve"/>
      </w:r>
    </w:p>
    <w:p>
      <w:pPr>
        <w:spacing w:after="90" w:before="240"/>
      </w:pPr>
      <w:r>
        <w:rPr>
          <w:rFonts w:ascii="Calibri" w:cs="Calibri" w:eastAsia="Calibri" w:hAnsi="Calibri"/>
          <w:b/>
          <w:bCs/>
          <w:color w:val="222222"/>
          <w:sz w:val="22"/>
          <w:szCs w:val="22"/>
        </w:rPr>
        <w:t xml:space="preserve">4.2 Federal — Medicare Advantage prior authorization</w:t>
      </w:r>
    </w:p>
    <w:p>
      <w:pPr>
        <w:spacing w:after="100" w:line="264"/>
      </w:pPr>
      <w:r>
        <w:rPr>
          <w:rFonts w:ascii="Calibri" w:cs="Calibri" w:eastAsia="Calibri" w:hAnsi="Calibri"/>
          <w:sz w:val="20"/>
          <w:szCs w:val="20"/>
        </w:rPr>
        <w:t xml:space="preserve">CMS has set guardrails for AI use by Medicare Advantage plans in prior authorization. Where the use case touches MA lines of business, confirm current CMS guidance with counsel and map each requirement to a control in Section 6.</w:t>
      </w:r>
    </w:p>
    <w:p>
      <w:pPr>
        <w:pBdr>
          <w:left w:val="single" w:color="BBBBBB" w:sz="12" w:space="8"/>
        </w:pBdr>
        <w:spacing w:after="90" w:line="264"/>
        <w:ind w:left="240"/>
      </w:pPr>
      <w:r>
        <w:rPr>
          <w:rFonts w:ascii="Calibri" w:cs="Calibri" w:eastAsia="Calibri" w:hAnsi="Calibri"/>
          <w:i/>
          <w:iCs/>
          <w:color w:val="595959"/>
          <w:sz w:val="19"/>
          <w:szCs w:val="19"/>
        </w:rPr>
        <w:t xml:space="preserve">Confirm which lines of business are in scope: MA, Medicaid managed care, commercial, ACA marketplace, self-funded ASO.</w:t>
      </w:r>
    </w:p>
    <w:p>
      <w:pPr>
        <w:spacing w:after="90" w:before="240"/>
      </w:pPr>
      <w:r>
        <w:rPr>
          <w:rFonts w:ascii="Calibri" w:cs="Calibri" w:eastAsia="Calibri" w:hAnsi="Calibri"/>
          <w:b/>
          <w:bCs/>
          <w:color w:val="222222"/>
          <w:sz w:val="22"/>
          <w:szCs w:val="22"/>
        </w:rPr>
        <w:t xml:space="preserve">4.3 State law — AI in utilization review and prior authorization</w:t>
      </w:r>
    </w:p>
    <w:p>
      <w:pPr>
        <w:spacing w:after="100" w:line="264"/>
      </w:pPr>
      <w:r>
        <w:rPr>
          <w:rFonts w:ascii="Calibri" w:cs="Calibri" w:eastAsia="Calibri" w:hAnsi="Calibri"/>
          <w:sz w:val="20"/>
          <w:szCs w:val="20"/>
        </w:rPr>
        <w:t xml:space="preserve">At least 37 states have enacted or introduced legislation governing AI in healthcare. The table below summarizes enacted laws most directly applicable to AI-assisted utilization review. Effective dates and requirements change frequently; verify current text with counsel before relying on any entry.</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State / Law</w:t>
            </w:r>
          </w:p>
        </w:tc>
        <w:tc>
          <w:tcPr>
            <w:tcW w:type="pct" w:w="14%"/>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Effective</w:t>
            </w:r>
          </w:p>
        </w:tc>
        <w:tc>
          <w:tcPr>
            <w:tcW w:type="pct" w:w="6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Core requirement</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California SB 1120</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2025</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AI-assisted utilization review decisions must be based on the individual enrollee’s clinical history and circumstances, not solely group data</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Texas SB 815</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2025</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AI may not be the sole basis for an adverse determination</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Arizona HB 2175</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2025</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 health care provider must independently review a claim or prior authorization request before an insurer denial</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Maryland HB 820</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2025</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AI used in utilization review must incorporate medical history, individual circumstances, and clinical information; quarterly reporting indicating AI use in adverse decisions</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Nebraska LB 77</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2025</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Disclosure of AI use to both providers and enrollees</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Indiana HB 1271</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Mar 2026</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Prohibits AI as the sole basis for downcoding a claim without a health care professional’s review of the medical record; not limited to prior authorization</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Alabama SB 63</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Oct 1, 2026</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Standards for underlying data sets; annual certification to the Department of Insurance that AI tools are periodically reviewed for accuracy and reliability and applied fairly across subscriber groups; prominent disclosure of AI use to policyholders</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Iowa HF 2635</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Jul 1, 2026</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AI permitted for initial review only; may not be the sole basis to deny, delay, or downgrade a medical necessity request. Denials and downgrades require a qualified reviewer or clinical peer meeting specialty and experience requirements</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Washington SB 5395</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Jun 11, 2026</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Among the most comprehensive. Governs carriers and health care benefit managers; on denial, requires disclosure of the credentials, board certifications, and specialty of the provider exercising clinical oversight to both enrollee and requesting provider</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Georgia SB 444</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Jan 1, 2027</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AI may not issue an adverse determination until a qualified private review agent or utilization review entity conducts review with clinical peer participation</w:t>
            </w:r>
          </w:p>
        </w:tc>
      </w:tr>
      <w:tr>
        <w:tc>
          <w:tcPr>
            <w:tcW w:type="pct" w:w="2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Utah SB 319</w:t>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Jan 1, 2027</w:t>
            </w:r>
          </w:p>
        </w:tc>
        <w:tc>
          <w:tcPr>
            <w:tcW w:type="pct" w:w="6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Disclosure of AI use to the Insurance Department, providers, and enrollees; public posting of prior authorization requirements and approval/denial statistics; independent medical judgment required for adverse determination review</w:t>
            </w:r>
          </w:p>
        </w:tc>
      </w:tr>
    </w:tbl>
    <w:p>
      <w:pPr>
        <w:spacing w:after="160"/>
      </w:pPr>
      <w:r>
        <w:rPr>
          <w:sz w:val="12"/>
          <w:szCs w:val="12"/>
        </w:rPr>
        <w:t xml:space="preserve"/>
      </w:r>
    </w:p>
    <w:p>
      <w:pPr>
        <w:spacing w:after="90" w:before="240"/>
      </w:pPr>
      <w:r>
        <w:rPr>
          <w:rFonts w:ascii="Calibri" w:cs="Calibri" w:eastAsia="Calibri" w:hAnsi="Calibri"/>
          <w:b/>
          <w:bCs/>
          <w:color w:val="222222"/>
          <w:sz w:val="22"/>
          <w:szCs w:val="22"/>
        </w:rPr>
        <w:t xml:space="preserve">4.4 Obligation-to-control crosswalk</w:t>
      </w:r>
    </w:p>
    <w:p>
      <w:pPr>
        <w:spacing w:after="100" w:line="264"/>
      </w:pPr>
      <w:r>
        <w:rPr>
          <w:rFonts w:ascii="Calibri" w:cs="Calibri" w:eastAsia="Calibri" w:hAnsi="Calibri"/>
          <w:sz w:val="20"/>
          <w:szCs w:val="20"/>
        </w:rPr>
        <w:t xml:space="preserve">For each applicable obligation, identify the control that satisfies it and the evidence that demonstrates satisfaction. An obligation with no named control and no evidence is an open gap.</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Obligation</w:t>
            </w:r>
          </w:p>
        </w:tc>
        <w:tc>
          <w:tcPr>
            <w:tcW w:type="pct" w:w="1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Jurisdiction</w:t>
            </w:r>
          </w:p>
        </w:tc>
        <w:tc>
          <w:tcPr>
            <w:tcW w:type="pct" w:w="1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Control ref.</w:t>
            </w:r>
          </w:p>
        </w:tc>
        <w:tc>
          <w:tcPr>
            <w:tcW w:type="pct" w:w="2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Evidence</w:t>
            </w:r>
          </w:p>
        </w:tc>
        <w:tc>
          <w:tcPr>
            <w:tcW w:type="pct" w:w="1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Status</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bl>
    <w:p>
      <w:pPr>
        <w:spacing w:after="160"/>
      </w:pPr>
      <w:r>
        <w:rPr>
          <w:sz w:val="12"/>
          <w:szCs w:val="12"/>
        </w:rPr>
        <w:t xml:space="preserve"/>
      </w:r>
    </w:p>
    <w:p>
      <w:pPr>
        <w:shd w:fill="FFF4E0" w:val="clear"/>
        <w:spacing w:after="120" w:before="80" w:line="264"/>
        <w:ind w:left="120" w:right="120"/>
      </w:pPr>
      <w:r>
        <w:rPr>
          <w:rFonts w:ascii="Calibri" w:cs="Calibri" w:eastAsia="Calibri" w:hAnsi="Calibri"/>
          <w:b/>
          <w:bCs/>
          <w:color w:val="8A5A00"/>
          <w:sz w:val="18"/>
          <w:szCs w:val="18"/>
        </w:rPr>
        <w:t xml:space="preserve">ANALYST INPUT REQUIRED — </w:t>
      </w:r>
      <w:r>
        <w:rPr>
          <w:rFonts w:ascii="Calibri" w:cs="Calibri" w:eastAsia="Calibri" w:hAnsi="Calibri"/>
          <w:color w:val="8A5A00"/>
          <w:sz w:val="18"/>
          <w:szCs w:val="18"/>
        </w:rPr>
        <w:t xml:space="preserve">Complete the crosswalk for every obligation identified in 4.1 through 4.3. Gaps identified here drive the conditions attached to approval in Section 10.</w:t>
      </w:r>
    </w:p>
    <w:p>
      <w:pPr>
        <w:pBdr>
          <w:bottom w:val="single" w:color="1F3A5F" w:sz="10" w:space="3"/>
        </w:pBdr>
        <w:spacing w:after="120" w:before="320"/>
      </w:pPr>
      <w:r>
        <w:rPr>
          <w:rFonts w:ascii="Calibri" w:cs="Calibri" w:eastAsia="Calibri" w:hAnsi="Calibri"/>
          <w:b/>
          <w:bCs/>
          <w:color w:val="1F3A5F"/>
          <w:sz w:val="26"/>
          <w:szCs w:val="26"/>
        </w:rPr>
        <w:t xml:space="preserve">5. Harm Analysis</w:t>
      </w:r>
    </w:p>
    <w:p>
      <w:pPr>
        <w:spacing w:after="100" w:line="264"/>
      </w:pPr>
      <w:r>
        <w:rPr>
          <w:rFonts w:ascii="Calibri" w:cs="Calibri" w:eastAsia="Calibri" w:hAnsi="Calibri"/>
          <w:sz w:val="20"/>
          <w:szCs w:val="20"/>
        </w:rPr>
        <w:t xml:space="preserve">Identify who can be harmed, how, and through what mechanism. Harm analysis is distinct from control failure analysis: a system operating exactly as designed can still produce harm.</w:t>
      </w:r>
    </w:p>
    <w:p>
      <w:pPr>
        <w:spacing w:after="90" w:before="240"/>
      </w:pPr>
      <w:r>
        <w:rPr>
          <w:rFonts w:ascii="Calibri" w:cs="Calibri" w:eastAsia="Calibri" w:hAnsi="Calibri"/>
          <w:b/>
          <w:bCs/>
          <w:color w:val="222222"/>
          <w:sz w:val="22"/>
          <w:szCs w:val="22"/>
        </w:rPr>
        <w:t xml:space="preserve">5.1 Affected parties</w:t>
      </w:r>
    </w:p>
    <w:p>
      <w:pPr>
        <w:pStyle w:val="ListParagraph"/>
        <w:numPr>
          <w:ilvl w:val="0"/>
          <w:numId w:val="1"/>
        </w:numPr>
        <w:spacing w:after="60" w:line="264"/>
        <w:ind w:left="300" w:hanging="220"/>
      </w:pPr>
      <w:r>
        <w:rPr>
          <w:rFonts w:ascii="Calibri" w:cs="Calibri" w:eastAsia="Calibri" w:hAnsi="Calibri"/>
          <w:sz w:val="20"/>
          <w:szCs w:val="20"/>
        </w:rPr>
        <w:t xml:space="preserve">Individuals subject to the decision — patients, enrollees, claimants, applicants</w:t>
      </w:r>
    </w:p>
    <w:p>
      <w:pPr>
        <w:pStyle w:val="ListParagraph"/>
        <w:numPr>
          <w:ilvl w:val="0"/>
          <w:numId w:val="1"/>
        </w:numPr>
        <w:spacing w:after="60" w:line="264"/>
        <w:ind w:left="300" w:hanging="220"/>
      </w:pPr>
      <w:r>
        <w:rPr>
          <w:rFonts w:ascii="Calibri" w:cs="Calibri" w:eastAsia="Calibri" w:hAnsi="Calibri"/>
          <w:sz w:val="20"/>
          <w:szCs w:val="20"/>
        </w:rPr>
        <w:t xml:space="preserve">Providers or intermediaries whose work is affected</w:t>
      </w:r>
    </w:p>
    <w:p>
      <w:pPr>
        <w:pStyle w:val="ListParagraph"/>
        <w:numPr>
          <w:ilvl w:val="0"/>
          <w:numId w:val="1"/>
        </w:numPr>
        <w:spacing w:after="60" w:line="264"/>
        <w:ind w:left="300" w:hanging="220"/>
      </w:pPr>
      <w:r>
        <w:rPr>
          <w:rFonts w:ascii="Calibri" w:cs="Calibri" w:eastAsia="Calibri" w:hAnsi="Calibri"/>
          <w:sz w:val="20"/>
          <w:szCs w:val="20"/>
        </w:rPr>
        <w:t xml:space="preserve">Internal staff whose judgment is displaced or whose workload changes</w:t>
      </w:r>
    </w:p>
    <w:p>
      <w:pPr>
        <w:pStyle w:val="ListParagraph"/>
        <w:numPr>
          <w:ilvl w:val="0"/>
          <w:numId w:val="1"/>
        </w:numPr>
        <w:spacing w:after="60" w:line="264"/>
        <w:ind w:left="300" w:hanging="220"/>
      </w:pPr>
      <w:r>
        <w:rPr>
          <w:rFonts w:ascii="Calibri" w:cs="Calibri" w:eastAsia="Calibri" w:hAnsi="Calibri"/>
          <w:sz w:val="20"/>
          <w:szCs w:val="20"/>
        </w:rPr>
        <w:t xml:space="preserve">The organization — regulatory, litigation, and reputational exposure</w:t>
      </w:r>
    </w:p>
    <w:p>
      <w:pPr>
        <w:spacing w:after="90" w:before="240"/>
      </w:pPr>
      <w:r>
        <w:rPr>
          <w:rFonts w:ascii="Calibri" w:cs="Calibri" w:eastAsia="Calibri" w:hAnsi="Calibri"/>
          <w:b/>
          <w:bCs/>
          <w:color w:val="222222"/>
          <w:sz w:val="22"/>
          <w:szCs w:val="22"/>
        </w:rPr>
        <w:t xml:space="preserve">5.2 Harm categories</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Category</w:t>
            </w:r>
          </w:p>
        </w:tc>
        <w:tc>
          <w:tcPr>
            <w:tcW w:type="pct" w:w="7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Mechanism to examine</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Denial or delay of benefit</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False negatives; systematic under-approval; latency in the review path</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Disparate impact</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Differential error rates across protected classes, geography, language, or plan type</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Erosion of individualized assessment</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Reliance on group or population data where law requires individual clinical circumstances</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Automation bias</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Reviewers deferring to model output rather than exercising independent judgment</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Loss of contestability</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Affected party cannot obtain a rationale sufficient to appeal</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Data exposure</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PHI in prompts, logs, retrieval corpora, vendor telemetry, or model training feedback</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Fabrication</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For generative components: unsupported clinical or factual assertions in generated text</w:t>
            </w:r>
          </w:p>
        </w:tc>
      </w:tr>
    </w:tbl>
    <w:p>
      <w:pPr>
        <w:spacing w:after="160"/>
      </w:pPr>
      <w:r>
        <w:rPr>
          <w:sz w:val="12"/>
          <w:szCs w:val="12"/>
        </w:rPr>
        <w:t xml:space="preserve"/>
      </w:r>
    </w:p>
    <w:p>
      <w:pPr>
        <w:shd w:fill="FFF4E0" w:val="clear"/>
        <w:spacing w:after="120" w:before="80" w:line="264"/>
        <w:ind w:left="120" w:right="120"/>
      </w:pPr>
      <w:r>
        <w:rPr>
          <w:rFonts w:ascii="Calibri" w:cs="Calibri" w:eastAsia="Calibri" w:hAnsi="Calibri"/>
          <w:b/>
          <w:bCs/>
          <w:color w:val="8A5A00"/>
          <w:sz w:val="18"/>
          <w:szCs w:val="18"/>
        </w:rPr>
        <w:t xml:space="preserve">ANALYST INPUT REQUIRED — </w:t>
      </w:r>
      <w:r>
        <w:rPr>
          <w:rFonts w:ascii="Calibri" w:cs="Calibri" w:eastAsia="Calibri" w:hAnsi="Calibri"/>
          <w:color w:val="8A5A00"/>
          <w:sz w:val="18"/>
          <w:szCs w:val="18"/>
        </w:rPr>
        <w:t xml:space="preserve">For each harm judged plausible, write the mechanism in concrete terms specific to this use case. Generic harm language produces generic controls. State explicitly which harms you assess as not applicable and why.</w:t>
      </w:r>
    </w:p>
    <w:p>
      <w:pPr>
        <w:pBdr>
          <w:bottom w:val="single" w:color="1F3A5F" w:sz="10" w:space="3"/>
        </w:pBdr>
        <w:spacing w:after="120" w:before="320"/>
      </w:pPr>
      <w:r>
        <w:rPr>
          <w:rFonts w:ascii="Calibri" w:cs="Calibri" w:eastAsia="Calibri" w:hAnsi="Calibri"/>
          <w:b/>
          <w:bCs/>
          <w:color w:val="1F3A5F"/>
          <w:sz w:val="26"/>
          <w:szCs w:val="26"/>
        </w:rPr>
        <w:t xml:space="preserve">6. Control Design</w:t>
      </w:r>
    </w:p>
    <w:p>
      <w:pPr>
        <w:spacing w:after="100" w:line="264"/>
      </w:pPr>
      <w:r>
        <w:rPr>
          <w:rFonts w:ascii="Calibri" w:cs="Calibri" w:eastAsia="Calibri" w:hAnsi="Calibri"/>
          <w:sz w:val="20"/>
          <w:szCs w:val="20"/>
        </w:rPr>
        <w:t xml:space="preserve">Controls must be specific enough to test. "Monitor for bias" is not a control. "Compute approval-rate parity across race, ethnicity, primary language, and dual-eligible status monthly; escalate to the model owner and compliance when any group deviates more than five percentage points from the reference group" is a control.</w:t>
      </w:r>
    </w:p>
    <w:p>
      <w:pPr>
        <w:spacing w:after="90" w:before="240"/>
      </w:pPr>
      <w:r>
        <w:rPr>
          <w:rFonts w:ascii="Calibri" w:cs="Calibri" w:eastAsia="Calibri" w:hAnsi="Calibri"/>
          <w:b/>
          <w:bCs/>
          <w:color w:val="222222"/>
          <w:sz w:val="22"/>
          <w:szCs w:val="22"/>
        </w:rPr>
        <w:t xml:space="preserve">6.1 Control catalog</w:t>
      </w:r>
    </w:p>
    <w:p>
      <w:pPr>
        <w:spacing w:after="70" w:before="160"/>
      </w:pPr>
      <w:r>
        <w:rPr>
          <w:rFonts w:ascii="Calibri" w:cs="Calibri" w:eastAsia="Calibri" w:hAnsi="Calibri"/>
          <w:b/>
          <w:bCs/>
          <w:i/>
          <w:iCs/>
          <w:color w:val="595959"/>
          <w:sz w:val="20"/>
          <w:szCs w:val="20"/>
        </w:rPr>
        <w:t xml:space="preserve">Data and privacy</w:t>
      </w:r>
    </w:p>
    <w:p>
      <w:pPr>
        <w:pStyle w:val="ListParagraph"/>
        <w:numPr>
          <w:ilvl w:val="0"/>
          <w:numId w:val="1"/>
        </w:numPr>
        <w:spacing w:after="60" w:line="264"/>
        <w:ind w:left="300" w:hanging="220"/>
      </w:pPr>
      <w:r>
        <w:rPr>
          <w:rFonts w:ascii="Calibri" w:cs="Calibri" w:eastAsia="Calibri" w:hAnsi="Calibri"/>
          <w:sz w:val="20"/>
          <w:szCs w:val="20"/>
        </w:rPr>
        <w:t xml:space="preserve">Minimum necessary scoping of data elements exposed to the model</w:t>
      </w:r>
    </w:p>
    <w:p>
      <w:pPr>
        <w:pStyle w:val="ListParagraph"/>
        <w:numPr>
          <w:ilvl w:val="0"/>
          <w:numId w:val="1"/>
        </w:numPr>
        <w:spacing w:after="60" w:line="264"/>
        <w:ind w:left="300" w:hanging="220"/>
      </w:pPr>
      <w:r>
        <w:rPr>
          <w:rFonts w:ascii="Calibri" w:cs="Calibri" w:eastAsia="Calibri" w:hAnsi="Calibri"/>
          <w:sz w:val="20"/>
          <w:szCs w:val="20"/>
        </w:rPr>
        <w:t xml:space="preserve">Documented lawful basis and business associate coverage for vendor-processed PHI</w:t>
      </w:r>
    </w:p>
    <w:p>
      <w:pPr>
        <w:pStyle w:val="ListParagraph"/>
        <w:numPr>
          <w:ilvl w:val="0"/>
          <w:numId w:val="1"/>
        </w:numPr>
        <w:spacing w:after="60" w:line="264"/>
        <w:ind w:left="300" w:hanging="220"/>
      </w:pPr>
      <w:r>
        <w:rPr>
          <w:rFonts w:ascii="Calibri" w:cs="Calibri" w:eastAsia="Calibri" w:hAnsi="Calibri"/>
          <w:sz w:val="20"/>
          <w:szCs w:val="20"/>
        </w:rPr>
        <w:t xml:space="preserve">Prohibition and technical prevention of organizational data entering vendor training corpora</w:t>
      </w:r>
    </w:p>
    <w:p>
      <w:pPr>
        <w:pStyle w:val="ListParagraph"/>
        <w:numPr>
          <w:ilvl w:val="0"/>
          <w:numId w:val="1"/>
        </w:numPr>
        <w:spacing w:after="60" w:line="264"/>
        <w:ind w:left="300" w:hanging="220"/>
      </w:pPr>
      <w:r>
        <w:rPr>
          <w:rFonts w:ascii="Calibri" w:cs="Calibri" w:eastAsia="Calibri" w:hAnsi="Calibri"/>
          <w:sz w:val="20"/>
          <w:szCs w:val="20"/>
        </w:rPr>
        <w:t xml:space="preserve">Retention and deletion schedules for prompts, outputs, and logs</w:t>
      </w:r>
    </w:p>
    <w:p>
      <w:pPr>
        <w:pStyle w:val="ListParagraph"/>
        <w:numPr>
          <w:ilvl w:val="0"/>
          <w:numId w:val="1"/>
        </w:numPr>
        <w:spacing w:after="60" w:line="264"/>
        <w:ind w:left="300" w:hanging="220"/>
      </w:pPr>
      <w:r>
        <w:rPr>
          <w:rFonts w:ascii="Calibri" w:cs="Calibri" w:eastAsia="Calibri" w:hAnsi="Calibri"/>
          <w:sz w:val="20"/>
          <w:szCs w:val="20"/>
        </w:rPr>
        <w:t xml:space="preserve">Access controls on retrieval corpora aligned to the requester’s entitlements, not the service account’s</w:t>
      </w:r>
    </w:p>
    <w:p>
      <w:pPr>
        <w:spacing w:after="70" w:before="160"/>
      </w:pPr>
      <w:r>
        <w:rPr>
          <w:rFonts w:ascii="Calibri" w:cs="Calibri" w:eastAsia="Calibri" w:hAnsi="Calibri"/>
          <w:b/>
          <w:bCs/>
          <w:i/>
          <w:iCs/>
          <w:color w:val="595959"/>
          <w:sz w:val="20"/>
          <w:szCs w:val="20"/>
        </w:rPr>
        <w:t xml:space="preserve">Model behavior</w:t>
      </w:r>
    </w:p>
    <w:p>
      <w:pPr>
        <w:pStyle w:val="ListParagraph"/>
        <w:numPr>
          <w:ilvl w:val="0"/>
          <w:numId w:val="1"/>
        </w:numPr>
        <w:spacing w:after="60" w:line="264"/>
        <w:ind w:left="300" w:hanging="220"/>
      </w:pPr>
      <w:r>
        <w:rPr>
          <w:rFonts w:ascii="Calibri" w:cs="Calibri" w:eastAsia="Calibri" w:hAnsi="Calibri"/>
          <w:sz w:val="20"/>
          <w:szCs w:val="20"/>
        </w:rPr>
        <w:t xml:space="preserve">Documented intended use and explicit out-of-scope uses</w:t>
      </w:r>
    </w:p>
    <w:p>
      <w:pPr>
        <w:pStyle w:val="ListParagraph"/>
        <w:numPr>
          <w:ilvl w:val="0"/>
          <w:numId w:val="1"/>
        </w:numPr>
        <w:spacing w:after="60" w:line="264"/>
        <w:ind w:left="300" w:hanging="220"/>
      </w:pPr>
      <w:r>
        <w:rPr>
          <w:rFonts w:ascii="Calibri" w:cs="Calibri" w:eastAsia="Calibri" w:hAnsi="Calibri"/>
          <w:sz w:val="20"/>
          <w:szCs w:val="20"/>
        </w:rPr>
        <w:t xml:space="preserve">Input validation and rejection of out-of-distribution cases to human review</w:t>
      </w:r>
    </w:p>
    <w:p>
      <w:pPr>
        <w:pStyle w:val="ListParagraph"/>
        <w:numPr>
          <w:ilvl w:val="0"/>
          <w:numId w:val="1"/>
        </w:numPr>
        <w:spacing w:after="60" w:line="264"/>
        <w:ind w:left="300" w:hanging="220"/>
      </w:pPr>
      <w:r>
        <w:rPr>
          <w:rFonts w:ascii="Calibri" w:cs="Calibri" w:eastAsia="Calibri" w:hAnsi="Calibri"/>
          <w:sz w:val="20"/>
          <w:szCs w:val="20"/>
        </w:rPr>
        <w:t xml:space="preserve">Confidence or uncertainty surfacing where the model supports it</w:t>
      </w:r>
    </w:p>
    <w:p>
      <w:pPr>
        <w:pStyle w:val="ListParagraph"/>
        <w:numPr>
          <w:ilvl w:val="0"/>
          <w:numId w:val="1"/>
        </w:numPr>
        <w:spacing w:after="60" w:line="264"/>
        <w:ind w:left="300" w:hanging="220"/>
      </w:pPr>
      <w:r>
        <w:rPr>
          <w:rFonts w:ascii="Calibri" w:cs="Calibri" w:eastAsia="Calibri" w:hAnsi="Calibri"/>
          <w:sz w:val="20"/>
          <w:szCs w:val="20"/>
        </w:rPr>
        <w:t xml:space="preserve">Version pinning with change control; no silent vendor model updates</w:t>
      </w:r>
    </w:p>
    <w:p>
      <w:pPr>
        <w:pStyle w:val="ListParagraph"/>
        <w:numPr>
          <w:ilvl w:val="0"/>
          <w:numId w:val="1"/>
        </w:numPr>
        <w:spacing w:after="60" w:line="264"/>
        <w:ind w:left="300" w:hanging="220"/>
      </w:pPr>
      <w:r>
        <w:rPr>
          <w:rFonts w:ascii="Calibri" w:cs="Calibri" w:eastAsia="Calibri" w:hAnsi="Calibri"/>
          <w:sz w:val="20"/>
          <w:szCs w:val="20"/>
        </w:rPr>
        <w:t xml:space="preserve">For generative components: grounding requirements and citation of source material</w:t>
      </w:r>
    </w:p>
    <w:p>
      <w:pPr>
        <w:spacing w:after="70" w:before="160"/>
      </w:pPr>
      <w:r>
        <w:rPr>
          <w:rFonts w:ascii="Calibri" w:cs="Calibri" w:eastAsia="Calibri" w:hAnsi="Calibri"/>
          <w:b/>
          <w:bCs/>
          <w:i/>
          <w:iCs/>
          <w:color w:val="595959"/>
          <w:sz w:val="20"/>
          <w:szCs w:val="20"/>
        </w:rPr>
        <w:t xml:space="preserve">Decision integrity</w:t>
      </w:r>
    </w:p>
    <w:p>
      <w:pPr>
        <w:pStyle w:val="ListParagraph"/>
        <w:numPr>
          <w:ilvl w:val="0"/>
          <w:numId w:val="1"/>
        </w:numPr>
        <w:spacing w:after="60" w:line="264"/>
        <w:ind w:left="300" w:hanging="220"/>
      </w:pPr>
      <w:r>
        <w:rPr>
          <w:rFonts w:ascii="Calibri" w:cs="Calibri" w:eastAsia="Calibri" w:hAnsi="Calibri"/>
          <w:sz w:val="20"/>
          <w:szCs w:val="20"/>
        </w:rPr>
        <w:t xml:space="preserve">Enforced prohibition on adverse determination without qualified human review, implemented in the workflow rather than by policy alone</w:t>
      </w:r>
    </w:p>
    <w:p>
      <w:pPr>
        <w:pStyle w:val="ListParagraph"/>
        <w:numPr>
          <w:ilvl w:val="0"/>
          <w:numId w:val="1"/>
        </w:numPr>
        <w:spacing w:after="60" w:line="264"/>
        <w:ind w:left="300" w:hanging="220"/>
      </w:pPr>
      <w:r>
        <w:rPr>
          <w:rFonts w:ascii="Calibri" w:cs="Calibri" w:eastAsia="Calibri" w:hAnsi="Calibri"/>
          <w:sz w:val="20"/>
          <w:szCs w:val="20"/>
        </w:rPr>
        <w:t xml:space="preserve">Individual clinical circumstances demonstrably incorporated into each determination</w:t>
      </w:r>
    </w:p>
    <w:p>
      <w:pPr>
        <w:pStyle w:val="ListParagraph"/>
        <w:numPr>
          <w:ilvl w:val="0"/>
          <w:numId w:val="1"/>
        </w:numPr>
        <w:spacing w:after="60" w:line="264"/>
        <w:ind w:left="300" w:hanging="220"/>
      </w:pPr>
      <w:r>
        <w:rPr>
          <w:rFonts w:ascii="Calibri" w:cs="Calibri" w:eastAsia="Calibri" w:hAnsi="Calibri"/>
          <w:sz w:val="20"/>
          <w:szCs w:val="20"/>
        </w:rPr>
        <w:t xml:space="preserve">Rationale captured and retained for every output that informs a determination</w:t>
      </w:r>
    </w:p>
    <w:p>
      <w:pPr>
        <w:pStyle w:val="ListParagraph"/>
        <w:numPr>
          <w:ilvl w:val="0"/>
          <w:numId w:val="1"/>
        </w:numPr>
        <w:spacing w:after="60" w:line="264"/>
        <w:ind w:left="300" w:hanging="220"/>
      </w:pPr>
      <w:r>
        <w:rPr>
          <w:rFonts w:ascii="Calibri" w:cs="Calibri" w:eastAsia="Calibri" w:hAnsi="Calibri"/>
          <w:sz w:val="20"/>
          <w:szCs w:val="20"/>
        </w:rPr>
        <w:t xml:space="preserve">Reviewer credential and specialty capture where disclosure is required</w:t>
      </w:r>
    </w:p>
    <w:p>
      <w:pPr>
        <w:spacing w:after="70" w:before="160"/>
      </w:pPr>
      <w:r>
        <w:rPr>
          <w:rFonts w:ascii="Calibri" w:cs="Calibri" w:eastAsia="Calibri" w:hAnsi="Calibri"/>
          <w:b/>
          <w:bCs/>
          <w:i/>
          <w:iCs/>
          <w:color w:val="595959"/>
          <w:sz w:val="20"/>
          <w:szCs w:val="20"/>
        </w:rPr>
        <w:t xml:space="preserve">Transparency</w:t>
      </w:r>
    </w:p>
    <w:p>
      <w:pPr>
        <w:pStyle w:val="ListParagraph"/>
        <w:numPr>
          <w:ilvl w:val="0"/>
          <w:numId w:val="1"/>
        </w:numPr>
        <w:spacing w:after="60" w:line="264"/>
        <w:ind w:left="300" w:hanging="220"/>
      </w:pPr>
      <w:r>
        <w:rPr>
          <w:rFonts w:ascii="Calibri" w:cs="Calibri" w:eastAsia="Calibri" w:hAnsi="Calibri"/>
          <w:sz w:val="20"/>
          <w:szCs w:val="20"/>
        </w:rPr>
        <w:t xml:space="preserve">Disclosure of AI use to enrollees and providers as required by applicable state law</w:t>
      </w:r>
    </w:p>
    <w:p>
      <w:pPr>
        <w:pStyle w:val="ListParagraph"/>
        <w:numPr>
          <w:ilvl w:val="0"/>
          <w:numId w:val="1"/>
        </w:numPr>
        <w:spacing w:after="60" w:line="264"/>
        <w:ind w:left="300" w:hanging="220"/>
      </w:pPr>
      <w:r>
        <w:rPr>
          <w:rFonts w:ascii="Calibri" w:cs="Calibri" w:eastAsia="Calibri" w:hAnsi="Calibri"/>
          <w:sz w:val="20"/>
          <w:szCs w:val="20"/>
        </w:rPr>
        <w:t xml:space="preserve">Appeal path that reaches a human with authority to reverse</w:t>
      </w:r>
    </w:p>
    <w:p>
      <w:pPr>
        <w:pStyle w:val="ListParagraph"/>
        <w:numPr>
          <w:ilvl w:val="0"/>
          <w:numId w:val="1"/>
        </w:numPr>
        <w:spacing w:after="60" w:line="264"/>
        <w:ind w:left="300" w:hanging="220"/>
      </w:pPr>
      <w:r>
        <w:rPr>
          <w:rFonts w:ascii="Calibri" w:cs="Calibri" w:eastAsia="Calibri" w:hAnsi="Calibri"/>
          <w:sz w:val="20"/>
          <w:szCs w:val="20"/>
        </w:rPr>
        <w:t xml:space="preserve">Public posting of prior authorization requirements and statistics where required</w:t>
      </w:r>
    </w:p>
    <w:p>
      <w:pPr>
        <w:spacing w:after="90" w:before="240"/>
      </w:pPr>
      <w:r>
        <w:rPr>
          <w:rFonts w:ascii="Calibri" w:cs="Calibri" w:eastAsia="Calibri" w:hAnsi="Calibri"/>
          <w:b/>
          <w:bCs/>
          <w:color w:val="222222"/>
          <w:sz w:val="22"/>
          <w:szCs w:val="22"/>
        </w:rPr>
        <w:t xml:space="preserve">6.2 Control register</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ID</w:t>
            </w:r>
          </w:p>
        </w:tc>
        <w:tc>
          <w:tcPr>
            <w:tcW w:type="pct" w:w="4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Control statement</w:t>
            </w:r>
          </w:p>
        </w:tc>
        <w:tc>
          <w:tcPr>
            <w:tcW w:type="pct" w:w="14%"/>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Owner</w:t>
            </w:r>
          </w:p>
        </w:tc>
        <w:tc>
          <w:tcPr>
            <w:tcW w:type="pct" w:w="1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Type</w:t>
            </w:r>
          </w:p>
        </w:tc>
        <w:tc>
          <w:tcPr>
            <w:tcW w:type="pct" w:w="2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Test method</w:t>
            </w:r>
          </w:p>
        </w:tc>
      </w:tr>
      <w:tr>
        <w:tc>
          <w:tcPr>
            <w:tcW w:type="pct" w:w="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C-01</w:t>
            </w:r>
          </w:p>
        </w:tc>
        <w:tc>
          <w:tcPr>
            <w:tcW w:type="pct" w:w="4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Preventive / Detective</w:t>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C-02</w:t>
            </w:r>
          </w:p>
        </w:tc>
        <w:tc>
          <w:tcPr>
            <w:tcW w:type="pct" w:w="4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C-03</w:t>
            </w:r>
          </w:p>
        </w:tc>
        <w:tc>
          <w:tcPr>
            <w:tcW w:type="pct" w:w="4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bl>
    <w:p>
      <w:pPr>
        <w:spacing w:after="160"/>
      </w:pPr>
      <w:r>
        <w:rPr>
          <w:sz w:val="12"/>
          <w:szCs w:val="12"/>
        </w:rPr>
        <w:t xml:space="preserve"/>
      </w:r>
    </w:p>
    <w:p>
      <w:pPr>
        <w:pBdr>
          <w:bottom w:val="single" w:color="1F3A5F" w:sz="10" w:space="3"/>
        </w:pBdr>
        <w:spacing w:after="120" w:before="320"/>
      </w:pPr>
      <w:r>
        <w:rPr>
          <w:rFonts w:ascii="Calibri" w:cs="Calibri" w:eastAsia="Calibri" w:hAnsi="Calibri"/>
          <w:b/>
          <w:bCs/>
          <w:color w:val="1F3A5F"/>
          <w:sz w:val="26"/>
          <w:szCs w:val="26"/>
        </w:rPr>
        <w:t xml:space="preserve">7. Human Oversight Design</w:t>
      </w:r>
    </w:p>
    <w:p>
      <w:pPr>
        <w:spacing w:after="100" w:line="264"/>
      </w:pPr>
      <w:r>
        <w:rPr>
          <w:rFonts w:ascii="Calibri" w:cs="Calibri" w:eastAsia="Calibri" w:hAnsi="Calibri"/>
          <w:sz w:val="20"/>
          <w:szCs w:val="20"/>
        </w:rPr>
        <w:t xml:space="preserve">Most utilization review AI laws require human involvement in adverse determinations. Nearly all such requirements can be satisfied on paper while being defeated in practice. This section assesses whether oversight is real.</w:t>
      </w:r>
    </w:p>
    <w:p>
      <w:pPr>
        <w:spacing w:after="90" w:before="240"/>
      </w:pPr>
      <w:r>
        <w:rPr>
          <w:rFonts w:ascii="Calibri" w:cs="Calibri" w:eastAsia="Calibri" w:hAnsi="Calibri"/>
          <w:b/>
          <w:bCs/>
          <w:color w:val="222222"/>
          <w:sz w:val="22"/>
          <w:szCs w:val="22"/>
        </w:rPr>
        <w:t xml:space="preserve">7.1 The meaningful override test</w:t>
      </w:r>
    </w:p>
    <w:p>
      <w:pPr>
        <w:spacing w:after="100" w:line="264"/>
      </w:pPr>
      <w:r>
        <w:rPr>
          <w:rFonts w:ascii="Calibri" w:cs="Calibri" w:eastAsia="Calibri" w:hAnsi="Calibri"/>
          <w:sz w:val="20"/>
          <w:szCs w:val="20"/>
        </w:rPr>
        <w:t xml:space="preserve">Answer each honestly. A "no" is a finding, not a formality.</w:t>
      </w:r>
    </w:p>
    <w:p>
      <w:pPr>
        <w:pStyle w:val="ListParagraph"/>
        <w:numPr>
          <w:ilvl w:val="0"/>
          <w:numId w:val="1"/>
        </w:numPr>
        <w:spacing w:after="60" w:line="264"/>
        <w:ind w:left="300" w:hanging="220"/>
      </w:pPr>
      <w:r>
        <w:rPr>
          <w:rFonts w:ascii="Calibri" w:cs="Calibri" w:eastAsia="Calibri" w:hAnsi="Calibri"/>
          <w:sz w:val="20"/>
          <w:szCs w:val="20"/>
        </w:rPr>
        <w:t xml:space="preserve">Does the reviewer see the information needed to disagree, or only the model’s conclusion?</w:t>
      </w:r>
    </w:p>
    <w:p>
      <w:pPr>
        <w:pStyle w:val="ListParagraph"/>
        <w:numPr>
          <w:ilvl w:val="0"/>
          <w:numId w:val="1"/>
        </w:numPr>
        <w:spacing w:after="60" w:line="264"/>
        <w:ind w:left="300" w:hanging="220"/>
      </w:pPr>
      <w:r>
        <w:rPr>
          <w:rFonts w:ascii="Calibri" w:cs="Calibri" w:eastAsia="Calibri" w:hAnsi="Calibri"/>
          <w:sz w:val="20"/>
          <w:szCs w:val="20"/>
        </w:rPr>
        <w:t xml:space="preserve">How much time does the reviewer actually have per case at production volume? Compute it from staffing and throughput rather than from policy.</w:t>
      </w:r>
    </w:p>
    <w:p>
      <w:pPr>
        <w:pStyle w:val="ListParagraph"/>
        <w:numPr>
          <w:ilvl w:val="0"/>
          <w:numId w:val="1"/>
        </w:numPr>
        <w:spacing w:after="60" w:line="264"/>
        <w:ind w:left="300" w:hanging="220"/>
      </w:pPr>
      <w:r>
        <w:rPr>
          <w:rFonts w:ascii="Calibri" w:cs="Calibri" w:eastAsia="Calibri" w:hAnsi="Calibri"/>
          <w:sz w:val="20"/>
          <w:szCs w:val="20"/>
        </w:rPr>
        <w:t xml:space="preserve">What is the observed override rate? A rate near zero indicates rubber-stamping, not model quality.</w:t>
      </w:r>
    </w:p>
    <w:p>
      <w:pPr>
        <w:pStyle w:val="ListParagraph"/>
        <w:numPr>
          <w:ilvl w:val="0"/>
          <w:numId w:val="1"/>
        </w:numPr>
        <w:spacing w:after="60" w:line="264"/>
        <w:ind w:left="300" w:hanging="220"/>
      </w:pPr>
      <w:r>
        <w:rPr>
          <w:rFonts w:ascii="Calibri" w:cs="Calibri" w:eastAsia="Calibri" w:hAnsi="Calibri"/>
          <w:sz w:val="20"/>
          <w:szCs w:val="20"/>
        </w:rPr>
        <w:t xml:space="preserve">Is there any performance consequence — explicit or cultural — to overriding frequently?</w:t>
      </w:r>
    </w:p>
    <w:p>
      <w:pPr>
        <w:pStyle w:val="ListParagraph"/>
        <w:numPr>
          <w:ilvl w:val="0"/>
          <w:numId w:val="1"/>
        </w:numPr>
        <w:spacing w:after="60" w:line="264"/>
        <w:ind w:left="300" w:hanging="220"/>
      </w:pPr>
      <w:r>
        <w:rPr>
          <w:rFonts w:ascii="Calibri" w:cs="Calibri" w:eastAsia="Calibri" w:hAnsi="Calibri"/>
          <w:sz w:val="20"/>
          <w:szCs w:val="20"/>
        </w:rPr>
        <w:t xml:space="preserve">Does the reviewer hold the credentials and specialty that applicable law requires?</w:t>
      </w:r>
    </w:p>
    <w:p>
      <w:pPr>
        <w:pStyle w:val="ListParagraph"/>
        <w:numPr>
          <w:ilvl w:val="0"/>
          <w:numId w:val="1"/>
        </w:numPr>
        <w:spacing w:after="60" w:line="264"/>
        <w:ind w:left="300" w:hanging="220"/>
      </w:pPr>
      <w:r>
        <w:rPr>
          <w:rFonts w:ascii="Calibri" w:cs="Calibri" w:eastAsia="Calibri" w:hAnsi="Calibri"/>
          <w:sz w:val="20"/>
          <w:szCs w:val="20"/>
        </w:rPr>
        <w:t xml:space="preserve">Is the override path as easy to exercise as the confirm path, or does dissent cost more clicks and more justification?</w:t>
      </w:r>
    </w:p>
    <w:p>
      <w:pPr>
        <w:shd w:fill="FFF4E0" w:val="clear"/>
        <w:spacing w:after="120" w:before="80" w:line="264"/>
        <w:ind w:left="120" w:right="120"/>
      </w:pPr>
      <w:r>
        <w:rPr>
          <w:rFonts w:ascii="Calibri" w:cs="Calibri" w:eastAsia="Calibri" w:hAnsi="Calibri"/>
          <w:b/>
          <w:bCs/>
          <w:color w:val="8A5A00"/>
          <w:sz w:val="18"/>
          <w:szCs w:val="18"/>
        </w:rPr>
        <w:t xml:space="preserve">ANALYST INPUT REQUIRED — </w:t>
      </w:r>
      <w:r>
        <w:rPr>
          <w:rFonts w:ascii="Calibri" w:cs="Calibri" w:eastAsia="Calibri" w:hAnsi="Calibri"/>
          <w:color w:val="8A5A00"/>
          <w:sz w:val="18"/>
          <w:szCs w:val="18"/>
        </w:rPr>
        <w:t xml:space="preserve">The time-per-case calculation is the single most useful number in this section. Derive it and state it. It converts an abstract concern into a finding an executive can act on.</w:t>
      </w:r>
    </w:p>
    <w:p>
      <w:pPr>
        <w:spacing w:after="90" w:before="240"/>
      </w:pPr>
      <w:r>
        <w:rPr>
          <w:rFonts w:ascii="Calibri" w:cs="Calibri" w:eastAsia="Calibri" w:hAnsi="Calibri"/>
          <w:b/>
          <w:bCs/>
          <w:color w:val="222222"/>
          <w:sz w:val="22"/>
          <w:szCs w:val="22"/>
        </w:rPr>
        <w:t xml:space="preserve">7.2 Oversight specification</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Element</w:t>
            </w:r>
          </w:p>
        </w:tc>
        <w:tc>
          <w:tcPr>
            <w:tcW w:type="pct" w:w="7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Specification</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Review trigger</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Which outputs require human review; whether all or a defined subset</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Reviewer qualification</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Credential, licensure, specialty, and experience requirements</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Information provided to reviewer</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Model output, rationale, source material, confidence, patient record access</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Time standard</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Expected and minimum time per review at production volume</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Override mechanism</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How disagreement is recorded and what happens next</w:t>
            </w:r>
          </w:p>
        </w:tc>
      </w:tr>
      <w:tr>
        <w:tc>
          <w:tcPr>
            <w:tcW w:type="pct" w:w="3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Override monitoring</w:t>
            </w:r>
          </w:p>
        </w:tc>
        <w:tc>
          <w:tcPr>
            <w:tcW w:type="pct" w:w="7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Rate tracked, by whom, at what threshold escalation occurs</w:t>
            </w:r>
          </w:p>
        </w:tc>
      </w:tr>
    </w:tbl>
    <w:p>
      <w:pPr>
        <w:spacing w:after="160"/>
      </w:pPr>
      <w:r>
        <w:rPr>
          <w:sz w:val="12"/>
          <w:szCs w:val="12"/>
        </w:rPr>
        <w:t xml:space="preserve"/>
      </w:r>
    </w:p>
    <w:p>
      <w:pPr>
        <w:pBdr>
          <w:bottom w:val="single" w:color="1F3A5F" w:sz="10" w:space="3"/>
        </w:pBdr>
        <w:spacing w:after="120" w:before="320"/>
      </w:pPr>
      <w:r>
        <w:rPr>
          <w:rFonts w:ascii="Calibri" w:cs="Calibri" w:eastAsia="Calibri" w:hAnsi="Calibri"/>
          <w:b/>
          <w:bCs/>
          <w:color w:val="1F3A5F"/>
          <w:sz w:val="26"/>
          <w:szCs w:val="26"/>
        </w:rPr>
        <w:t xml:space="preserve">8. Evaluation and Monitoring Plan</w:t>
      </w:r>
    </w:p>
    <w:p>
      <w:pPr>
        <w:spacing w:after="100" w:line="264"/>
      </w:pPr>
      <w:r>
        <w:rPr>
          <w:rFonts w:ascii="Calibri" w:cs="Calibri" w:eastAsia="Calibri" w:hAnsi="Calibri"/>
          <w:sz w:val="20"/>
          <w:szCs w:val="20"/>
        </w:rPr>
        <w:t xml:space="preserve">Several state laws now require periodic accuracy monitoring and, in some cases, annual certification to a state regulator. The monitoring plan is therefore a compliance artifact, not only a quality practice. Every metric needs a definition, a threshold, an owner, and a cadence.</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Metric</w:t>
            </w:r>
          </w:p>
        </w:tc>
        <w:tc>
          <w:tcPr>
            <w:tcW w:type="pct" w:w="34%"/>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Definition</w:t>
            </w:r>
          </w:p>
        </w:tc>
        <w:tc>
          <w:tcPr>
            <w:tcW w:type="pct" w:w="1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Threshold</w:t>
            </w:r>
          </w:p>
        </w:tc>
        <w:tc>
          <w:tcPr>
            <w:tcW w:type="pct" w:w="1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Cadence</w:t>
            </w:r>
          </w:p>
        </w:tc>
        <w:tc>
          <w:tcPr>
            <w:tcW w:type="pct" w:w="18%"/>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Owner</w:t>
            </w:r>
          </w:p>
        </w:tc>
      </w:tr>
      <w:tr>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Accuracy vs. clinical baseline</w:t>
            </w:r>
          </w:p>
        </w:tc>
        <w:tc>
          <w:tcPr>
            <w:tcW w:type="pct" w:w="3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Agreement with independent qualified reviewer on a sampled set</w:t>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Monthly</w:t>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Approval-rate parity</w:t>
            </w:r>
          </w:p>
        </w:tc>
        <w:tc>
          <w:tcPr>
            <w:tcW w:type="pct" w:w="3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Approval rate by protected class, language, geography, plan type vs. reference group</w:t>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Monthly</w:t>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Error-rate parity</w:t>
            </w:r>
          </w:p>
        </w:tc>
        <w:tc>
          <w:tcPr>
            <w:tcW w:type="pct" w:w="3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False negative rate by the same strata</w:t>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Quarterly</w:t>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Override rate</w:t>
            </w:r>
          </w:p>
        </w:tc>
        <w:tc>
          <w:tcPr>
            <w:tcW w:type="pct" w:w="3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Share of outputs reversed by human reviewer</w:t>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Monthly</w:t>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Appeal and overturn rate</w:t>
            </w:r>
          </w:p>
        </w:tc>
        <w:tc>
          <w:tcPr>
            <w:tcW w:type="pct" w:w="3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Adverse determinations appealed, and share overturned</w:t>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Monthly</w:t>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Time-to-decision</w:t>
            </w:r>
          </w:p>
        </w:tc>
        <w:tc>
          <w:tcPr>
            <w:tcW w:type="pct" w:w="3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Distribution against regulatory turnaround requirements</w:t>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Monthly</w:t>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Drift</w:t>
            </w:r>
          </w:p>
        </w:tc>
        <w:tc>
          <w:tcPr>
            <w:tcW w:type="pct" w:w="3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Input distribution shift vs. validation population</w:t>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Quarterly</w:t>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Fabrication rate</w:t>
            </w:r>
          </w:p>
        </w:tc>
        <w:tc>
          <w:tcPr>
            <w:tcW w:type="pct" w:w="3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For generative components: unsupported assertions per sampled output</w:t>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Monthly</w:t>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bl>
    <w:p>
      <w:pPr>
        <w:spacing w:after="160"/>
      </w:pPr>
      <w:r>
        <w:rPr>
          <w:sz w:val="12"/>
          <w:szCs w:val="12"/>
        </w:rPr>
        <w:t xml:space="preserve"/>
      </w:r>
    </w:p>
    <w:p>
      <w:pPr>
        <w:shd w:fill="FFF4E0" w:val="clear"/>
        <w:spacing w:after="120" w:before="80" w:line="264"/>
        <w:ind w:left="120" w:right="120"/>
      </w:pPr>
      <w:r>
        <w:rPr>
          <w:rFonts w:ascii="Calibri" w:cs="Calibri" w:eastAsia="Calibri" w:hAnsi="Calibri"/>
          <w:b/>
          <w:bCs/>
          <w:color w:val="8A5A00"/>
          <w:sz w:val="18"/>
          <w:szCs w:val="18"/>
        </w:rPr>
        <w:t xml:space="preserve">ANALYST INPUT REQUIRED — </w:t>
      </w:r>
      <w:r>
        <w:rPr>
          <w:rFonts w:ascii="Calibri" w:cs="Calibri" w:eastAsia="Calibri" w:hAnsi="Calibri"/>
          <w:color w:val="8A5A00"/>
          <w:sz w:val="18"/>
          <w:szCs w:val="18"/>
        </w:rPr>
        <w:t xml:space="preserve">Set thresholds with the model owner and the clinical SME. A threshold nobody agreed to will not be enforced. Where a threshold cannot be agreed, record that as an open item in Section 10 rather than inventing one.</w:t>
      </w:r>
    </w:p>
    <w:p>
      <w:pPr>
        <w:spacing w:after="90" w:before="240"/>
      </w:pPr>
      <w:r>
        <w:rPr>
          <w:rFonts w:ascii="Calibri" w:cs="Calibri" w:eastAsia="Calibri" w:hAnsi="Calibri"/>
          <w:b/>
          <w:bCs/>
          <w:color w:val="222222"/>
          <w:sz w:val="22"/>
          <w:szCs w:val="22"/>
        </w:rPr>
        <w:t xml:space="preserve">8.1 Independent validation</w:t>
      </w:r>
    </w:p>
    <w:p>
      <w:pPr>
        <w:spacing w:after="100" w:line="264"/>
      </w:pPr>
      <w:r>
        <w:rPr>
          <w:rFonts w:ascii="Calibri" w:cs="Calibri" w:eastAsia="Calibri" w:hAnsi="Calibri"/>
          <w:sz w:val="20"/>
          <w:szCs w:val="20"/>
        </w:rPr>
        <w:t xml:space="preserve">For Tier 1 and Tier 2 use cases, specify who performs validation independently of the model owner, on what cadence, and to whom findings are reported. Where an internal second line does not yet exist, state that plainly as a structural gap.</w:t>
      </w:r>
    </w:p>
    <w:p>
      <w:pPr>
        <w:pBdr>
          <w:bottom w:val="single" w:color="1F3A5F" w:sz="10" w:space="3"/>
        </w:pBdr>
        <w:spacing w:after="120" w:before="320"/>
      </w:pPr>
      <w:r>
        <w:rPr>
          <w:rFonts w:ascii="Calibri" w:cs="Calibri" w:eastAsia="Calibri" w:hAnsi="Calibri"/>
          <w:b/>
          <w:bCs/>
          <w:color w:val="1F3A5F"/>
          <w:sz w:val="26"/>
          <w:szCs w:val="26"/>
        </w:rPr>
        <w:t xml:space="preserve">9. Third-Party and Incident Considerations</w:t>
      </w:r>
    </w:p>
    <w:p>
      <w:pPr>
        <w:spacing w:after="90" w:before="240"/>
      </w:pPr>
      <w:r>
        <w:rPr>
          <w:rFonts w:ascii="Calibri" w:cs="Calibri" w:eastAsia="Calibri" w:hAnsi="Calibri"/>
          <w:b/>
          <w:bCs/>
          <w:color w:val="222222"/>
          <w:sz w:val="22"/>
          <w:szCs w:val="22"/>
        </w:rPr>
        <w:t xml:space="preserve">9.1 Vendor assessment</w:t>
      </w:r>
    </w:p>
    <w:p>
      <w:pPr>
        <w:pStyle w:val="ListParagraph"/>
        <w:numPr>
          <w:ilvl w:val="0"/>
          <w:numId w:val="1"/>
        </w:numPr>
        <w:spacing w:after="60" w:line="264"/>
        <w:ind w:left="300" w:hanging="220"/>
      </w:pPr>
      <w:r>
        <w:rPr>
          <w:rFonts w:ascii="Calibri" w:cs="Calibri" w:eastAsia="Calibri" w:hAnsi="Calibri"/>
          <w:sz w:val="20"/>
          <w:szCs w:val="20"/>
        </w:rPr>
        <w:t xml:space="preserve">Contractual right to audit, and whether it has ever been exercised</w:t>
      </w:r>
    </w:p>
    <w:p>
      <w:pPr>
        <w:pStyle w:val="ListParagraph"/>
        <w:numPr>
          <w:ilvl w:val="0"/>
          <w:numId w:val="1"/>
        </w:numPr>
        <w:spacing w:after="60" w:line="264"/>
        <w:ind w:left="300" w:hanging="220"/>
      </w:pPr>
      <w:r>
        <w:rPr>
          <w:rFonts w:ascii="Calibri" w:cs="Calibri" w:eastAsia="Calibri" w:hAnsi="Calibri"/>
          <w:sz w:val="20"/>
          <w:szCs w:val="20"/>
        </w:rPr>
        <w:t xml:space="preserve">Model change notification obligations and lead time</w:t>
      </w:r>
    </w:p>
    <w:p>
      <w:pPr>
        <w:pStyle w:val="ListParagraph"/>
        <w:numPr>
          <w:ilvl w:val="0"/>
          <w:numId w:val="1"/>
        </w:numPr>
        <w:spacing w:after="60" w:line="264"/>
        <w:ind w:left="300" w:hanging="220"/>
      </w:pPr>
      <w:r>
        <w:rPr>
          <w:rFonts w:ascii="Calibri" w:cs="Calibri" w:eastAsia="Calibri" w:hAnsi="Calibri"/>
          <w:sz w:val="20"/>
          <w:szCs w:val="20"/>
        </w:rPr>
        <w:t xml:space="preserve">Training data provenance representations and whether they are warranted</w:t>
      </w:r>
    </w:p>
    <w:p>
      <w:pPr>
        <w:pStyle w:val="ListParagraph"/>
        <w:numPr>
          <w:ilvl w:val="0"/>
          <w:numId w:val="1"/>
        </w:numPr>
        <w:spacing w:after="60" w:line="264"/>
        <w:ind w:left="300" w:hanging="220"/>
      </w:pPr>
      <w:r>
        <w:rPr>
          <w:rFonts w:ascii="Calibri" w:cs="Calibri" w:eastAsia="Calibri" w:hAnsi="Calibri"/>
          <w:sz w:val="20"/>
          <w:szCs w:val="20"/>
        </w:rPr>
        <w:t xml:space="preserve">Prohibition on use of organizational data for vendor model improvement</w:t>
      </w:r>
    </w:p>
    <w:p>
      <w:pPr>
        <w:pStyle w:val="ListParagraph"/>
        <w:numPr>
          <w:ilvl w:val="0"/>
          <w:numId w:val="1"/>
        </w:numPr>
        <w:spacing w:after="60" w:line="264"/>
        <w:ind w:left="300" w:hanging="220"/>
      </w:pPr>
      <w:r>
        <w:rPr>
          <w:rFonts w:ascii="Calibri" w:cs="Calibri" w:eastAsia="Calibri" w:hAnsi="Calibri"/>
          <w:sz w:val="20"/>
          <w:szCs w:val="20"/>
        </w:rPr>
        <w:t xml:space="preserve">Subprocessor disclosure, including foundation model providers and hosting</w:t>
      </w:r>
    </w:p>
    <w:p>
      <w:pPr>
        <w:pStyle w:val="ListParagraph"/>
        <w:numPr>
          <w:ilvl w:val="0"/>
          <w:numId w:val="1"/>
        </w:numPr>
        <w:spacing w:after="60" w:line="264"/>
        <w:ind w:left="300" w:hanging="220"/>
      </w:pPr>
      <w:r>
        <w:rPr>
          <w:rFonts w:ascii="Calibri" w:cs="Calibri" w:eastAsia="Calibri" w:hAnsi="Calibri"/>
          <w:sz w:val="20"/>
          <w:szCs w:val="20"/>
        </w:rPr>
        <w:t xml:space="preserve">Evidence of the vendor’s own evaluation results, not marketing claims</w:t>
      </w:r>
    </w:p>
    <w:p>
      <w:pPr>
        <w:pStyle w:val="ListParagraph"/>
        <w:numPr>
          <w:ilvl w:val="0"/>
          <w:numId w:val="1"/>
        </w:numPr>
        <w:spacing w:after="60" w:line="264"/>
        <w:ind w:left="300" w:hanging="220"/>
      </w:pPr>
      <w:r>
        <w:rPr>
          <w:rFonts w:ascii="Calibri" w:cs="Calibri" w:eastAsia="Calibri" w:hAnsi="Calibri"/>
          <w:sz w:val="20"/>
          <w:szCs w:val="20"/>
        </w:rPr>
        <w:t xml:space="preserve">Business associate agreement coverage for all PHI flows including logs and telemetry</w:t>
      </w:r>
    </w:p>
    <w:p>
      <w:pPr>
        <w:pStyle w:val="ListParagraph"/>
        <w:numPr>
          <w:ilvl w:val="0"/>
          <w:numId w:val="1"/>
        </w:numPr>
        <w:spacing w:after="60" w:line="264"/>
        <w:ind w:left="300" w:hanging="220"/>
      </w:pPr>
      <w:r>
        <w:rPr>
          <w:rFonts w:ascii="Calibri" w:cs="Calibri" w:eastAsia="Calibri" w:hAnsi="Calibri"/>
          <w:sz w:val="20"/>
          <w:szCs w:val="20"/>
        </w:rPr>
        <w:t xml:space="preserve">Exit provisions: data return and deletion, transition assistance</w:t>
      </w:r>
    </w:p>
    <w:p>
      <w:pPr>
        <w:shd w:fill="FFF4E0" w:val="clear"/>
        <w:spacing w:after="120" w:before="80" w:line="264"/>
        <w:ind w:left="120" w:right="120"/>
      </w:pPr>
      <w:r>
        <w:rPr>
          <w:rFonts w:ascii="Calibri" w:cs="Calibri" w:eastAsia="Calibri" w:hAnsi="Calibri"/>
          <w:b/>
          <w:bCs/>
          <w:color w:val="8A5A00"/>
          <w:sz w:val="18"/>
          <w:szCs w:val="18"/>
        </w:rPr>
        <w:t xml:space="preserve">ANALYST INPUT REQUIRED — </w:t>
      </w:r>
      <w:r>
        <w:rPr>
          <w:rFonts w:ascii="Calibri" w:cs="Calibri" w:eastAsia="Calibri" w:hAnsi="Calibri"/>
          <w:color w:val="8A5A00"/>
          <w:sz w:val="18"/>
          <w:szCs w:val="18"/>
        </w:rPr>
        <w:t xml:space="preserve">Vendor claims about accuracy and fairness require underlying evidence. Ask for the evaluation methodology, the population it was measured on, and whether that population resembles yours. A vendor unwilling to produce this is itself a finding.</w:t>
      </w:r>
    </w:p>
    <w:p>
      <w:pPr>
        <w:spacing w:after="90" w:before="240"/>
      </w:pPr>
      <w:r>
        <w:rPr>
          <w:rFonts w:ascii="Calibri" w:cs="Calibri" w:eastAsia="Calibri" w:hAnsi="Calibri"/>
          <w:b/>
          <w:bCs/>
          <w:color w:val="222222"/>
          <w:sz w:val="22"/>
          <w:szCs w:val="22"/>
        </w:rPr>
        <w:t xml:space="preserve">9.2 Incident definition and response</w:t>
      </w:r>
    </w:p>
    <w:p>
      <w:pPr>
        <w:spacing w:after="100" w:line="264"/>
      </w:pPr>
      <w:r>
        <w:rPr>
          <w:rFonts w:ascii="Calibri" w:cs="Calibri" w:eastAsia="Calibri" w:hAnsi="Calibri"/>
          <w:sz w:val="20"/>
          <w:szCs w:val="20"/>
        </w:rPr>
        <w:t xml:space="preserve">Define what constitutes an AI incident for this use case before deployment. Common triggers: a threshold breach in Section 8, a pattern of overturned appeals, a data exposure through prompts or logs, an unnotified vendor model change, or a regulator inquiry.</w:t>
      </w:r>
    </w:p>
    <w:p>
      <w:pPr>
        <w:pStyle w:val="ListParagraph"/>
        <w:numPr>
          <w:ilvl w:val="0"/>
          <w:numId w:val="1"/>
        </w:numPr>
        <w:spacing w:after="60" w:line="264"/>
        <w:ind w:left="300" w:hanging="220"/>
      </w:pPr>
      <w:r>
        <w:rPr>
          <w:rFonts w:ascii="Calibri" w:cs="Calibri" w:eastAsia="Calibri" w:hAnsi="Calibri"/>
          <w:sz w:val="20"/>
          <w:szCs w:val="20"/>
        </w:rPr>
        <w:t xml:space="preserve">Who is notified, within what timeframe</w:t>
      </w:r>
    </w:p>
    <w:p>
      <w:pPr>
        <w:pStyle w:val="ListParagraph"/>
        <w:numPr>
          <w:ilvl w:val="0"/>
          <w:numId w:val="1"/>
        </w:numPr>
        <w:spacing w:after="60" w:line="264"/>
        <w:ind w:left="300" w:hanging="220"/>
      </w:pPr>
      <w:r>
        <w:rPr>
          <w:rFonts w:ascii="Calibri" w:cs="Calibri" w:eastAsia="Calibri" w:hAnsi="Calibri"/>
          <w:sz w:val="20"/>
          <w:szCs w:val="20"/>
        </w:rPr>
        <w:t xml:space="preserve">Who has authority to suspend the system, and how quickly it can be done</w:t>
      </w:r>
    </w:p>
    <w:p>
      <w:pPr>
        <w:pStyle w:val="ListParagraph"/>
        <w:numPr>
          <w:ilvl w:val="0"/>
          <w:numId w:val="1"/>
        </w:numPr>
        <w:spacing w:after="60" w:line="264"/>
        <w:ind w:left="300" w:hanging="220"/>
      </w:pPr>
      <w:r>
        <w:rPr>
          <w:rFonts w:ascii="Calibri" w:cs="Calibri" w:eastAsia="Calibri" w:hAnsi="Calibri"/>
          <w:sz w:val="20"/>
          <w:szCs w:val="20"/>
        </w:rPr>
        <w:t xml:space="preserve">Fallback process while suspended, and whether it can absorb full volume</w:t>
      </w:r>
    </w:p>
    <w:p>
      <w:pPr>
        <w:pStyle w:val="ListParagraph"/>
        <w:numPr>
          <w:ilvl w:val="0"/>
          <w:numId w:val="1"/>
        </w:numPr>
        <w:spacing w:after="60" w:line="264"/>
        <w:ind w:left="300" w:hanging="220"/>
      </w:pPr>
      <w:r>
        <w:rPr>
          <w:rFonts w:ascii="Calibri" w:cs="Calibri" w:eastAsia="Calibri" w:hAnsi="Calibri"/>
          <w:sz w:val="20"/>
          <w:szCs w:val="20"/>
        </w:rPr>
        <w:t xml:space="preserve">Remediation of affected determinations already issued</w:t>
      </w:r>
    </w:p>
    <w:p>
      <w:pPr>
        <w:pStyle w:val="ListParagraph"/>
        <w:numPr>
          <w:ilvl w:val="0"/>
          <w:numId w:val="1"/>
        </w:numPr>
        <w:spacing w:after="60" w:line="264"/>
        <w:ind w:left="300" w:hanging="220"/>
      </w:pPr>
      <w:r>
        <w:rPr>
          <w:rFonts w:ascii="Calibri" w:cs="Calibri" w:eastAsia="Calibri" w:hAnsi="Calibri"/>
          <w:sz w:val="20"/>
          <w:szCs w:val="20"/>
        </w:rPr>
        <w:t xml:space="preserve">Regulatory notification obligations and who assesses them</w:t>
      </w:r>
    </w:p>
    <w:p>
      <w:pPr>
        <w:pBdr>
          <w:bottom w:val="single" w:color="1F3A5F" w:sz="10" w:space="3"/>
        </w:pBdr>
        <w:spacing w:after="120" w:before="320"/>
      </w:pPr>
      <w:r>
        <w:rPr>
          <w:rFonts w:ascii="Calibri" w:cs="Calibri" w:eastAsia="Calibri" w:hAnsi="Calibri"/>
          <w:b/>
          <w:bCs/>
          <w:color w:val="1F3A5F"/>
          <w:sz w:val="26"/>
          <w:szCs w:val="26"/>
        </w:rPr>
        <w:t xml:space="preserve">10. Disposition and Residual Risk</w:t>
      </w:r>
    </w:p>
    <w:p>
      <w:pPr>
        <w:spacing w:after="100" w:line="264"/>
      </w:pPr>
      <w:r>
        <w:rPr>
          <w:rFonts w:ascii="Calibri" w:cs="Calibri" w:eastAsia="Calibri" w:hAnsi="Calibri"/>
          <w:sz w:val="20"/>
          <w:szCs w:val="20"/>
        </w:rPr>
        <w:t xml:space="preserve">The assessment concludes with a decision and a named accountable owner. An assessment that recommends further study without a disposition has moved risk rather than managed it.</w:t>
      </w:r>
    </w:p>
    <w:p>
      <w:pPr>
        <w:spacing w:after="90" w:before="240"/>
      </w:pPr>
      <w:r>
        <w:rPr>
          <w:rFonts w:ascii="Calibri" w:cs="Calibri" w:eastAsia="Calibri" w:hAnsi="Calibri"/>
          <w:b/>
          <w:bCs/>
          <w:color w:val="222222"/>
          <w:sz w:val="22"/>
          <w:szCs w:val="22"/>
        </w:rPr>
        <w:t xml:space="preserve">10.1 Findings summary</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8%"/>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ID</w:t>
            </w:r>
          </w:p>
        </w:tc>
        <w:tc>
          <w:tcPr>
            <w:tcW w:type="pct" w:w="38%"/>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Finding</w:t>
            </w:r>
          </w:p>
        </w:tc>
        <w:tc>
          <w:tcPr>
            <w:tcW w:type="pct" w:w="1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Severity</w:t>
            </w:r>
          </w:p>
        </w:tc>
        <w:tc>
          <w:tcPr>
            <w:tcW w:type="pct" w:w="18%"/>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Required before go-live?</w:t>
            </w:r>
          </w:p>
        </w:tc>
        <w:tc>
          <w:tcPr>
            <w:tcW w:type="pct" w:w="14%"/>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Owner</w:t>
            </w:r>
          </w:p>
        </w:tc>
        <w:tc>
          <w:tcPr>
            <w:tcW w:type="pct" w:w="10%"/>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Due</w:t>
            </w:r>
          </w:p>
        </w:tc>
      </w:tr>
      <w:tr>
        <w:tc>
          <w:tcPr>
            <w:tcW w:type="pct" w:w="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F-01</w:t>
            </w:r>
          </w:p>
        </w:tc>
        <w:tc>
          <w:tcPr>
            <w:tcW w:type="pct" w:w="3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F-02</w:t>
            </w:r>
          </w:p>
        </w:tc>
        <w:tc>
          <w:tcPr>
            <w:tcW w:type="pct" w:w="3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F-03</w:t>
            </w:r>
          </w:p>
        </w:tc>
        <w:tc>
          <w:tcPr>
            <w:tcW w:type="pct" w:w="3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0%"/>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bl>
    <w:p>
      <w:pPr>
        <w:spacing w:after="160"/>
      </w:pPr>
      <w:r>
        <w:rPr>
          <w:sz w:val="12"/>
          <w:szCs w:val="12"/>
        </w:rPr>
        <w:t xml:space="preserve"/>
      </w:r>
    </w:p>
    <w:p>
      <w:pPr>
        <w:spacing w:after="90" w:before="240"/>
      </w:pPr>
      <w:r>
        <w:rPr>
          <w:rFonts w:ascii="Calibri" w:cs="Calibri" w:eastAsia="Calibri" w:hAnsi="Calibri"/>
          <w:b/>
          <w:bCs/>
          <w:color w:val="222222"/>
          <w:sz w:val="22"/>
          <w:szCs w:val="22"/>
        </w:rPr>
        <w:t xml:space="preserve">10.2 Disposition</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Option</w:t>
            </w:r>
          </w:p>
        </w:tc>
        <w:tc>
          <w:tcPr>
            <w:tcW w:type="pct" w:w="74%"/>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Meaning</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Approve</w:t>
            </w:r>
          </w:p>
        </w:tc>
        <w:tc>
          <w:tcPr>
            <w:tcW w:type="pct" w:w="7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Proceed under the control set in Section 6 and the monitoring plan in Section 8</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Approve with conditions</w:t>
            </w:r>
          </w:p>
        </w:tc>
        <w:tc>
          <w:tcPr>
            <w:tcW w:type="pct" w:w="7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Proceed only after the conditions named in 10.1 are satisfied and evidenced; conditions are binding, dated, and owned</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Approve with scope limitation</w:t>
            </w:r>
          </w:p>
        </w:tc>
        <w:tc>
          <w:tcPr>
            <w:tcW w:type="pct" w:w="7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Proceed for a defined subset — population, line of business, or decision type — with expansion requiring reassessment</w:t>
            </w:r>
          </w:p>
        </w:tc>
      </w:tr>
      <w:tr>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Reject</w:t>
            </w:r>
          </w:p>
        </w:tc>
        <w:tc>
          <w:tcPr>
            <w:tcW w:type="pct" w:w="7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Do not proceed in current form; state what would need to change</w:t>
            </w:r>
          </w:p>
        </w:tc>
      </w:tr>
    </w:tbl>
    <w:p>
      <w:pPr>
        <w:spacing w:after="160"/>
      </w:pPr>
      <w:r>
        <w:rPr>
          <w:sz w:val="12"/>
          <w:szCs w:val="12"/>
        </w:rPr>
        <w:t xml:space="preserve"/>
      </w:r>
    </w:p>
    <w:p>
      <w:pPr>
        <w:shd w:fill="FFF4E0" w:val="clear"/>
        <w:spacing w:after="120" w:before="80" w:line="264"/>
        <w:ind w:left="120" w:right="120"/>
      </w:pPr>
      <w:r>
        <w:rPr>
          <w:rFonts w:ascii="Calibri" w:cs="Calibri" w:eastAsia="Calibri" w:hAnsi="Calibri"/>
          <w:b/>
          <w:bCs/>
          <w:color w:val="8A5A00"/>
          <w:sz w:val="18"/>
          <w:szCs w:val="18"/>
        </w:rPr>
        <w:t xml:space="preserve">ANALYST INPUT REQUIRED — </w:t>
      </w:r>
      <w:r>
        <w:rPr>
          <w:rFonts w:ascii="Calibri" w:cs="Calibri" w:eastAsia="Calibri" w:hAnsi="Calibri"/>
          <w:color w:val="8A5A00"/>
          <w:sz w:val="18"/>
          <w:szCs w:val="18"/>
        </w:rPr>
        <w:t xml:space="preserve">Write the disposition, the conditions, and the residual risk statement. The residual risk statement should describe, in plain language, what can still go wrong after every control in this document is operating as designed — and why that level of risk is acceptable to the organization. This is the paragraph the accountable executive is actually signing.</w:t>
      </w:r>
    </w:p>
    <w:p>
      <w:pPr>
        <w:spacing w:after="90" w:before="240"/>
      </w:pPr>
      <w:r>
        <w:rPr>
          <w:rFonts w:ascii="Calibri" w:cs="Calibri" w:eastAsia="Calibri" w:hAnsi="Calibri"/>
          <w:b/>
          <w:bCs/>
          <w:color w:val="222222"/>
          <w:sz w:val="22"/>
          <w:szCs w:val="22"/>
        </w:rPr>
        <w:t xml:space="preserve">10.3 Sign-off</w:t>
      </w:r>
    </w:p>
    <w:p>
      <w:pPr>
        <w:spacing w:after="80"/>
      </w:pPr>
      <w:r>
        <w:rPr>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2%"/>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Role</w:t>
            </w:r>
          </w:p>
        </w:tc>
        <w:tc>
          <w:tcPr>
            <w:tcW w:type="pct" w:w="26%"/>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Name</w:t>
            </w:r>
          </w:p>
        </w:tc>
        <w:tc>
          <w:tcPr>
            <w:tcW w:type="pct" w:w="24%"/>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Decision</w:t>
            </w:r>
          </w:p>
        </w:tc>
        <w:tc>
          <w:tcPr>
            <w:tcW w:type="pct" w:w="18%"/>
            <w:shd w:fill="1F3A5F" w:val="clear"/>
            <w:tcMar>
              <w:top w:type="dxa" w:w="60"/>
              <w:left w:type="dxa" w:w="90"/>
              <w:bottom w:type="dxa" w:w="60"/>
              <w:right w:type="dxa" w:w="90"/>
            </w:tcMar>
          </w:tcPr>
          <w:p>
            <w:pPr>
              <w:spacing w:after="0" w:line="240"/>
            </w:pPr>
            <w:r>
              <w:rPr>
                <w:rFonts w:ascii="Calibri" w:cs="Calibri" w:eastAsia="Calibri" w:hAnsi="Calibri"/>
                <w:b/>
                <w:bCs/>
                <w:color w:val="FFFFFF"/>
                <w:sz w:val="17"/>
                <w:szCs w:val="17"/>
              </w:rPr>
              <w:t xml:space="preserve">Date</w:t>
            </w:r>
          </w:p>
        </w:tc>
      </w:tr>
      <w:tr>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Business owner</w:t>
            </w:r>
          </w:p>
        </w:tc>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Model / product owner</w:t>
            </w:r>
          </w:p>
        </w:tc>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Clinical or actuarial SME</w:t>
            </w:r>
          </w:p>
        </w:tc>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Privacy</w:t>
            </w:r>
          </w:p>
        </w:tc>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Information security</w:t>
            </w:r>
          </w:p>
        </w:tc>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Legal / compliance</w:t>
            </w:r>
          </w:p>
        </w:tc>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r>
        <w:tc>
          <w:tcPr>
            <w:tcW w:type="pct" w:w="32%"/>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Accountable executive</w:t>
            </w:r>
          </w:p>
        </w:tc>
        <w:tc>
          <w:tcPr>
            <w:tcW w:type="pct" w:w="26%"/>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24%"/>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c>
          <w:tcPr>
            <w:tcW w:type="pct" w:w="18%"/>
            <w:tcMar>
              <w:top w:type="dxa" w:w="60"/>
              <w:left w:type="dxa" w:w="90"/>
              <w:bottom w:type="dxa" w:w="60"/>
              <w:right w:type="dxa" w:w="90"/>
            </w:tcMar>
          </w:tcPr>
          <w:p>
            <w:pPr>
              <w:spacing w:after="0" w:line="240"/>
            </w:pPr>
            <w:r>
              <w:rPr>
                <w:rFonts w:ascii="Calibri" w:cs="Calibri" w:eastAsia="Calibri" w:hAnsi="Calibri"/>
                <w:b w:val="false"/>
                <w:bCs w:val="false"/>
                <w:color w:val="000000"/>
                <w:sz w:val="17"/>
                <w:szCs w:val="17"/>
              </w:rPr>
              <w:t xml:space="preserve"/>
            </w:r>
          </w:p>
        </w:tc>
      </w:tr>
    </w:tbl>
    <w:p>
      <w:pPr>
        <w:spacing w:after="160"/>
      </w:pPr>
      <w:r>
        <w:rPr>
          <w:sz w:val="12"/>
          <w:szCs w:val="12"/>
        </w:rPr>
        <w:t xml:space="preserve"/>
      </w:r>
    </w:p>
    <w:p>
      <w:pPr>
        <w:spacing w:after="90" w:before="240"/>
      </w:pPr>
      <w:r>
        <w:rPr>
          <w:rFonts w:ascii="Calibri" w:cs="Calibri" w:eastAsia="Calibri" w:hAnsi="Calibri"/>
          <w:b/>
          <w:bCs/>
          <w:color w:val="222222"/>
          <w:sz w:val="22"/>
          <w:szCs w:val="22"/>
        </w:rPr>
        <w:t xml:space="preserve">10.4 Reassessment triggers</w:t>
      </w:r>
    </w:p>
    <w:p>
      <w:pPr>
        <w:pStyle w:val="ListParagraph"/>
        <w:numPr>
          <w:ilvl w:val="0"/>
          <w:numId w:val="1"/>
        </w:numPr>
        <w:spacing w:after="60" w:line="264"/>
        <w:ind w:left="300" w:hanging="220"/>
      </w:pPr>
      <w:r>
        <w:rPr>
          <w:rFonts w:ascii="Calibri" w:cs="Calibri" w:eastAsia="Calibri" w:hAnsi="Calibri"/>
          <w:sz w:val="20"/>
          <w:szCs w:val="20"/>
        </w:rPr>
        <w:t xml:space="preserve">Material model or vendor version change</w:t>
      </w:r>
    </w:p>
    <w:p>
      <w:pPr>
        <w:pStyle w:val="ListParagraph"/>
        <w:numPr>
          <w:ilvl w:val="0"/>
          <w:numId w:val="1"/>
        </w:numPr>
        <w:spacing w:after="60" w:line="264"/>
        <w:ind w:left="300" w:hanging="220"/>
      </w:pPr>
      <w:r>
        <w:rPr>
          <w:rFonts w:ascii="Calibri" w:cs="Calibri" w:eastAsia="Calibri" w:hAnsi="Calibri"/>
          <w:sz w:val="20"/>
          <w:szCs w:val="20"/>
        </w:rPr>
        <w:t xml:space="preserve">Expansion of population, line of business, or decision scope</w:t>
      </w:r>
    </w:p>
    <w:p>
      <w:pPr>
        <w:pStyle w:val="ListParagraph"/>
        <w:numPr>
          <w:ilvl w:val="0"/>
          <w:numId w:val="1"/>
        </w:numPr>
        <w:spacing w:after="60" w:line="264"/>
        <w:ind w:left="300" w:hanging="220"/>
      </w:pPr>
      <w:r>
        <w:rPr>
          <w:rFonts w:ascii="Calibri" w:cs="Calibri" w:eastAsia="Calibri" w:hAnsi="Calibri"/>
          <w:sz w:val="20"/>
          <w:szCs w:val="20"/>
        </w:rPr>
        <w:t xml:space="preserve">Threshold breach under Section 8 that is not resolved within the defined remediation window</w:t>
      </w:r>
    </w:p>
    <w:p>
      <w:pPr>
        <w:pStyle w:val="ListParagraph"/>
        <w:numPr>
          <w:ilvl w:val="0"/>
          <w:numId w:val="1"/>
        </w:numPr>
        <w:spacing w:after="60" w:line="264"/>
        <w:ind w:left="300" w:hanging="220"/>
      </w:pPr>
      <w:r>
        <w:rPr>
          <w:rFonts w:ascii="Calibri" w:cs="Calibri" w:eastAsia="Calibri" w:hAnsi="Calibri"/>
          <w:sz w:val="20"/>
          <w:szCs w:val="20"/>
        </w:rPr>
        <w:t xml:space="preserve">New or amended regulatory obligation in an operating jurisdiction</w:t>
      </w:r>
    </w:p>
    <w:p>
      <w:pPr>
        <w:pStyle w:val="ListParagraph"/>
        <w:numPr>
          <w:ilvl w:val="0"/>
          <w:numId w:val="1"/>
        </w:numPr>
        <w:spacing w:after="60" w:line="264"/>
        <w:ind w:left="300" w:hanging="220"/>
      </w:pPr>
      <w:r>
        <w:rPr>
          <w:rFonts w:ascii="Calibri" w:cs="Calibri" w:eastAsia="Calibri" w:hAnsi="Calibri"/>
          <w:sz w:val="20"/>
          <w:szCs w:val="20"/>
        </w:rPr>
        <w:t xml:space="preserve">Any AI incident as defined in Section 9.2</w:t>
      </w:r>
    </w:p>
    <w:p>
      <w:pPr>
        <w:pStyle w:val="ListParagraph"/>
        <w:numPr>
          <w:ilvl w:val="0"/>
          <w:numId w:val="1"/>
        </w:numPr>
        <w:spacing w:after="60" w:line="264"/>
        <w:ind w:left="300" w:hanging="220"/>
      </w:pPr>
      <w:r>
        <w:rPr>
          <w:rFonts w:ascii="Calibri" w:cs="Calibri" w:eastAsia="Calibri" w:hAnsi="Calibri"/>
          <w:sz w:val="20"/>
          <w:szCs w:val="20"/>
        </w:rPr>
        <w:t xml:space="preserve">Scheduled reassessment: annually for Tier 1, biennially for Tier 2</w:t>
      </w:r>
    </w:p>
    <w:p>
      <w:pPr>
        <w:pBdr>
          <w:bottom w:val="single" w:color="1F3A5F" w:sz="10" w:space="3"/>
        </w:pBdr>
        <w:spacing w:after="120" w:before="320"/>
      </w:pPr>
      <w:r>
        <w:rPr>
          <w:rFonts w:ascii="Calibri" w:cs="Calibri" w:eastAsia="Calibri" w:hAnsi="Calibri"/>
          <w:b/>
          <w:bCs/>
          <w:color w:val="1F3A5F"/>
          <w:sz w:val="26"/>
          <w:szCs w:val="26"/>
        </w:rPr>
        <w:t xml:space="preserve">Notes on Use</w:t>
      </w:r>
    </w:p>
    <w:p>
      <w:pPr>
        <w:spacing w:after="100" w:line="264"/>
      </w:pPr>
      <w:r>
        <w:rPr>
          <w:rFonts w:ascii="Calibri" w:cs="Calibri" w:eastAsia="Calibri" w:hAnsi="Calibri"/>
          <w:sz w:val="20"/>
          <w:szCs w:val="20"/>
        </w:rPr>
        <w:t xml:space="preserve">Regulatory content in Section 4 reflects sources current as of September 2026 and is provided as a research starting point. State AI legislation in this area is moving quickly, with effective dates extending into 2027. Verify current statutory text and effective dates with counsel before relying on any entry in an engagement.</w:t>
      </w:r>
    </w:p>
    <w:p>
      <w:pPr>
        <w:spacing w:after="100" w:line="264"/>
      </w:pPr>
      <w:r>
        <w:rPr>
          <w:rFonts w:ascii="Calibri" w:cs="Calibri" w:eastAsia="Calibri" w:hAnsi="Calibri"/>
          <w:sz w:val="20"/>
          <w:szCs w:val="20"/>
        </w:rPr>
        <w:t xml:space="preserve">This document is a methodology template. A completed assessment applying it to a specific use case is maintained separately as a worked example.</w:t>
      </w:r>
    </w:p>
    <w:p>
      <w:pPr>
        <w:spacing w:after="240"/>
      </w:pPr>
      <w:r>
        <w:rPr>
          <w:sz w:val="12"/>
          <w:szCs w:val="12"/>
        </w:rPr>
        <w:t xml:space="preserve"/>
      </w:r>
    </w:p>
    <w:p>
      <w:r>
        <w:rPr>
          <w:rFonts w:ascii="Calibri" w:cs="Calibri" w:eastAsia="Calibri" w:hAnsi="Calibri"/>
          <w:color w:val="595959"/>
          <w:sz w:val="18"/>
          <w:szCs w:val="18"/>
        </w:rPr>
        <w:t xml:space="preserve">Stanchion Security  ·  stanchionsecurity.com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2026-09-02T14:11:04.092Z</dcterms:created>
  <dcterms:modified xsi:type="dcterms:W3CDTF">2026-09-02T14:11:04.104Z</dcterms:modified>
</cp:coreProperties>
</file>

<file path=docProps/custom.xml><?xml version="1.0" encoding="utf-8"?>
<Properties xmlns="http://schemas.openxmlformats.org/officeDocument/2006/custom-properties" xmlns:vt="http://schemas.openxmlformats.org/officeDocument/2006/docPropsVTypes"/>
</file>