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209937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32E3814" w14:textId="46F69E62" w:rsidR="006974B7" w:rsidRDefault="006974B7">
          <w:pPr>
            <w:pStyle w:val="TOCHeading"/>
          </w:pPr>
          <w:r>
            <w:t>Contents</w:t>
          </w:r>
        </w:p>
        <w:p w14:paraId="0985517E" w14:textId="7EAC3735" w:rsidR="006974B7" w:rsidRDefault="006974B7">
          <w:pPr>
            <w:pStyle w:val="TOC1"/>
            <w:tabs>
              <w:tab w:val="right" w:leader="dot" w:pos="9350"/>
            </w:tabs>
            <w:rPr>
              <w:noProof/>
            </w:rPr>
          </w:pPr>
          <w:r>
            <w:fldChar w:fldCharType="begin"/>
          </w:r>
          <w:r>
            <w:instrText xml:space="preserve"> TOC \o "1-3" \h \z \u </w:instrText>
          </w:r>
          <w:r>
            <w:fldChar w:fldCharType="separate"/>
          </w:r>
          <w:hyperlink w:anchor="_Toc188804262" w:history="1">
            <w:r w:rsidRPr="00756C68">
              <w:rPr>
                <w:rStyle w:val="Hyperlink"/>
                <w:noProof/>
              </w:rPr>
              <w:t>Research Proposal</w:t>
            </w:r>
            <w:r>
              <w:rPr>
                <w:noProof/>
                <w:webHidden/>
              </w:rPr>
              <w:tab/>
            </w:r>
            <w:r>
              <w:rPr>
                <w:noProof/>
                <w:webHidden/>
              </w:rPr>
              <w:fldChar w:fldCharType="begin"/>
            </w:r>
            <w:r>
              <w:rPr>
                <w:noProof/>
                <w:webHidden/>
              </w:rPr>
              <w:instrText xml:space="preserve"> PAGEREF _Toc188804262 \h </w:instrText>
            </w:r>
            <w:r>
              <w:rPr>
                <w:noProof/>
                <w:webHidden/>
              </w:rPr>
            </w:r>
            <w:r>
              <w:rPr>
                <w:noProof/>
                <w:webHidden/>
              </w:rPr>
              <w:fldChar w:fldCharType="separate"/>
            </w:r>
            <w:r>
              <w:rPr>
                <w:noProof/>
                <w:webHidden/>
              </w:rPr>
              <w:t>1</w:t>
            </w:r>
            <w:r>
              <w:rPr>
                <w:noProof/>
                <w:webHidden/>
              </w:rPr>
              <w:fldChar w:fldCharType="end"/>
            </w:r>
          </w:hyperlink>
        </w:p>
        <w:p w14:paraId="5A93F92E" w14:textId="6BCFCFA6" w:rsidR="006974B7" w:rsidRDefault="006974B7">
          <w:pPr>
            <w:pStyle w:val="TOC1"/>
            <w:tabs>
              <w:tab w:val="right" w:leader="dot" w:pos="9350"/>
            </w:tabs>
            <w:rPr>
              <w:noProof/>
            </w:rPr>
          </w:pPr>
          <w:hyperlink w:anchor="_Toc188804263" w:history="1">
            <w:r w:rsidRPr="00756C68">
              <w:rPr>
                <w:rStyle w:val="Hyperlink"/>
                <w:noProof/>
              </w:rPr>
              <w:t>Introduction</w:t>
            </w:r>
            <w:r>
              <w:rPr>
                <w:noProof/>
                <w:webHidden/>
              </w:rPr>
              <w:tab/>
            </w:r>
            <w:r>
              <w:rPr>
                <w:noProof/>
                <w:webHidden/>
              </w:rPr>
              <w:fldChar w:fldCharType="begin"/>
            </w:r>
            <w:r>
              <w:rPr>
                <w:noProof/>
                <w:webHidden/>
              </w:rPr>
              <w:instrText xml:space="preserve"> PAGEREF _Toc188804263 \h </w:instrText>
            </w:r>
            <w:r>
              <w:rPr>
                <w:noProof/>
                <w:webHidden/>
              </w:rPr>
            </w:r>
            <w:r>
              <w:rPr>
                <w:noProof/>
                <w:webHidden/>
              </w:rPr>
              <w:fldChar w:fldCharType="separate"/>
            </w:r>
            <w:r>
              <w:rPr>
                <w:noProof/>
                <w:webHidden/>
              </w:rPr>
              <w:t>1</w:t>
            </w:r>
            <w:r>
              <w:rPr>
                <w:noProof/>
                <w:webHidden/>
              </w:rPr>
              <w:fldChar w:fldCharType="end"/>
            </w:r>
          </w:hyperlink>
        </w:p>
        <w:p w14:paraId="79CB5291" w14:textId="75587DA7" w:rsidR="006974B7" w:rsidRDefault="006974B7">
          <w:pPr>
            <w:pStyle w:val="TOC1"/>
            <w:tabs>
              <w:tab w:val="right" w:leader="dot" w:pos="9350"/>
            </w:tabs>
            <w:rPr>
              <w:noProof/>
            </w:rPr>
          </w:pPr>
          <w:hyperlink w:anchor="_Toc188804264" w:history="1">
            <w:r w:rsidRPr="00756C68">
              <w:rPr>
                <w:rStyle w:val="Hyperlink"/>
                <w:noProof/>
              </w:rPr>
              <w:t>Research Objectives</w:t>
            </w:r>
            <w:r>
              <w:rPr>
                <w:noProof/>
                <w:webHidden/>
              </w:rPr>
              <w:tab/>
            </w:r>
            <w:r>
              <w:rPr>
                <w:noProof/>
                <w:webHidden/>
              </w:rPr>
              <w:fldChar w:fldCharType="begin"/>
            </w:r>
            <w:r>
              <w:rPr>
                <w:noProof/>
                <w:webHidden/>
              </w:rPr>
              <w:instrText xml:space="preserve"> PAGEREF _Toc188804264 \h </w:instrText>
            </w:r>
            <w:r>
              <w:rPr>
                <w:noProof/>
                <w:webHidden/>
              </w:rPr>
            </w:r>
            <w:r>
              <w:rPr>
                <w:noProof/>
                <w:webHidden/>
              </w:rPr>
              <w:fldChar w:fldCharType="separate"/>
            </w:r>
            <w:r>
              <w:rPr>
                <w:noProof/>
                <w:webHidden/>
              </w:rPr>
              <w:t>2</w:t>
            </w:r>
            <w:r>
              <w:rPr>
                <w:noProof/>
                <w:webHidden/>
              </w:rPr>
              <w:fldChar w:fldCharType="end"/>
            </w:r>
          </w:hyperlink>
        </w:p>
        <w:p w14:paraId="082B845B" w14:textId="67D3AE04" w:rsidR="006974B7" w:rsidRDefault="006974B7">
          <w:pPr>
            <w:pStyle w:val="TOC1"/>
            <w:tabs>
              <w:tab w:val="right" w:leader="dot" w:pos="9350"/>
            </w:tabs>
            <w:rPr>
              <w:noProof/>
            </w:rPr>
          </w:pPr>
          <w:hyperlink w:anchor="_Toc188804265" w:history="1">
            <w:r w:rsidRPr="00756C68">
              <w:rPr>
                <w:rStyle w:val="Hyperlink"/>
                <w:noProof/>
              </w:rPr>
              <w:t>Additional Focus Areas</w:t>
            </w:r>
            <w:r>
              <w:rPr>
                <w:noProof/>
                <w:webHidden/>
              </w:rPr>
              <w:tab/>
            </w:r>
            <w:r>
              <w:rPr>
                <w:noProof/>
                <w:webHidden/>
              </w:rPr>
              <w:fldChar w:fldCharType="begin"/>
            </w:r>
            <w:r>
              <w:rPr>
                <w:noProof/>
                <w:webHidden/>
              </w:rPr>
              <w:instrText xml:space="preserve"> PAGEREF _Toc188804265 \h </w:instrText>
            </w:r>
            <w:r>
              <w:rPr>
                <w:noProof/>
                <w:webHidden/>
              </w:rPr>
            </w:r>
            <w:r>
              <w:rPr>
                <w:noProof/>
                <w:webHidden/>
              </w:rPr>
              <w:fldChar w:fldCharType="separate"/>
            </w:r>
            <w:r>
              <w:rPr>
                <w:noProof/>
                <w:webHidden/>
              </w:rPr>
              <w:t>3</w:t>
            </w:r>
            <w:r>
              <w:rPr>
                <w:noProof/>
                <w:webHidden/>
              </w:rPr>
              <w:fldChar w:fldCharType="end"/>
            </w:r>
          </w:hyperlink>
        </w:p>
        <w:p w14:paraId="08815E52" w14:textId="2EE473AC" w:rsidR="006974B7" w:rsidRDefault="006974B7">
          <w:pPr>
            <w:pStyle w:val="TOC1"/>
            <w:tabs>
              <w:tab w:val="right" w:leader="dot" w:pos="9350"/>
            </w:tabs>
            <w:rPr>
              <w:noProof/>
            </w:rPr>
          </w:pPr>
          <w:hyperlink w:anchor="_Toc188804266" w:history="1">
            <w:r w:rsidRPr="00756C68">
              <w:rPr>
                <w:rStyle w:val="Hyperlink"/>
                <w:noProof/>
              </w:rPr>
              <w:t>Research Questions</w:t>
            </w:r>
            <w:r>
              <w:rPr>
                <w:noProof/>
                <w:webHidden/>
              </w:rPr>
              <w:tab/>
            </w:r>
            <w:r>
              <w:rPr>
                <w:noProof/>
                <w:webHidden/>
              </w:rPr>
              <w:fldChar w:fldCharType="begin"/>
            </w:r>
            <w:r>
              <w:rPr>
                <w:noProof/>
                <w:webHidden/>
              </w:rPr>
              <w:instrText xml:space="preserve"> PAGEREF _Toc188804266 \h </w:instrText>
            </w:r>
            <w:r>
              <w:rPr>
                <w:noProof/>
                <w:webHidden/>
              </w:rPr>
            </w:r>
            <w:r>
              <w:rPr>
                <w:noProof/>
                <w:webHidden/>
              </w:rPr>
              <w:fldChar w:fldCharType="separate"/>
            </w:r>
            <w:r>
              <w:rPr>
                <w:noProof/>
                <w:webHidden/>
              </w:rPr>
              <w:t>3</w:t>
            </w:r>
            <w:r>
              <w:rPr>
                <w:noProof/>
                <w:webHidden/>
              </w:rPr>
              <w:fldChar w:fldCharType="end"/>
            </w:r>
          </w:hyperlink>
        </w:p>
        <w:p w14:paraId="660C194C" w14:textId="26101A84" w:rsidR="006974B7" w:rsidRDefault="006974B7">
          <w:pPr>
            <w:pStyle w:val="TOC1"/>
            <w:tabs>
              <w:tab w:val="right" w:leader="dot" w:pos="9350"/>
            </w:tabs>
            <w:rPr>
              <w:noProof/>
            </w:rPr>
          </w:pPr>
          <w:hyperlink w:anchor="_Toc188804267" w:history="1">
            <w:r w:rsidRPr="00756C68">
              <w:rPr>
                <w:rStyle w:val="Hyperlink"/>
                <w:noProof/>
              </w:rPr>
              <w:t>Literature Review</w:t>
            </w:r>
            <w:r>
              <w:rPr>
                <w:noProof/>
                <w:webHidden/>
              </w:rPr>
              <w:tab/>
            </w:r>
            <w:r>
              <w:rPr>
                <w:noProof/>
                <w:webHidden/>
              </w:rPr>
              <w:fldChar w:fldCharType="begin"/>
            </w:r>
            <w:r>
              <w:rPr>
                <w:noProof/>
                <w:webHidden/>
              </w:rPr>
              <w:instrText xml:space="preserve"> PAGEREF _Toc188804267 \h </w:instrText>
            </w:r>
            <w:r>
              <w:rPr>
                <w:noProof/>
                <w:webHidden/>
              </w:rPr>
            </w:r>
            <w:r>
              <w:rPr>
                <w:noProof/>
                <w:webHidden/>
              </w:rPr>
              <w:fldChar w:fldCharType="separate"/>
            </w:r>
            <w:r>
              <w:rPr>
                <w:noProof/>
                <w:webHidden/>
              </w:rPr>
              <w:t>4</w:t>
            </w:r>
            <w:r>
              <w:rPr>
                <w:noProof/>
                <w:webHidden/>
              </w:rPr>
              <w:fldChar w:fldCharType="end"/>
            </w:r>
          </w:hyperlink>
        </w:p>
        <w:p w14:paraId="79336A92" w14:textId="5B60F1A1" w:rsidR="006974B7" w:rsidRDefault="006974B7">
          <w:pPr>
            <w:pStyle w:val="TOC1"/>
            <w:tabs>
              <w:tab w:val="right" w:leader="dot" w:pos="9350"/>
            </w:tabs>
            <w:rPr>
              <w:noProof/>
            </w:rPr>
          </w:pPr>
          <w:hyperlink w:anchor="_Toc188804268" w:history="1">
            <w:r w:rsidRPr="00756C68">
              <w:rPr>
                <w:rStyle w:val="Hyperlink"/>
                <w:noProof/>
              </w:rPr>
              <w:t>Addressing Gaps in the Literature</w:t>
            </w:r>
            <w:r>
              <w:rPr>
                <w:noProof/>
                <w:webHidden/>
              </w:rPr>
              <w:tab/>
            </w:r>
            <w:r>
              <w:rPr>
                <w:noProof/>
                <w:webHidden/>
              </w:rPr>
              <w:fldChar w:fldCharType="begin"/>
            </w:r>
            <w:r>
              <w:rPr>
                <w:noProof/>
                <w:webHidden/>
              </w:rPr>
              <w:instrText xml:space="preserve"> PAGEREF _Toc188804268 \h </w:instrText>
            </w:r>
            <w:r>
              <w:rPr>
                <w:noProof/>
                <w:webHidden/>
              </w:rPr>
            </w:r>
            <w:r>
              <w:rPr>
                <w:noProof/>
                <w:webHidden/>
              </w:rPr>
              <w:fldChar w:fldCharType="separate"/>
            </w:r>
            <w:r>
              <w:rPr>
                <w:noProof/>
                <w:webHidden/>
              </w:rPr>
              <w:t>5</w:t>
            </w:r>
            <w:r>
              <w:rPr>
                <w:noProof/>
                <w:webHidden/>
              </w:rPr>
              <w:fldChar w:fldCharType="end"/>
            </w:r>
          </w:hyperlink>
        </w:p>
        <w:p w14:paraId="448C6DCE" w14:textId="47CA978F" w:rsidR="006974B7" w:rsidRDefault="006974B7">
          <w:pPr>
            <w:pStyle w:val="TOC1"/>
            <w:tabs>
              <w:tab w:val="right" w:leader="dot" w:pos="9350"/>
            </w:tabs>
            <w:rPr>
              <w:noProof/>
            </w:rPr>
          </w:pPr>
          <w:hyperlink w:anchor="_Toc188804269" w:history="1">
            <w:r w:rsidRPr="00756C68">
              <w:rPr>
                <w:rStyle w:val="Hyperlink"/>
                <w:noProof/>
              </w:rPr>
              <w:t>Methodology</w:t>
            </w:r>
            <w:r>
              <w:rPr>
                <w:noProof/>
                <w:webHidden/>
              </w:rPr>
              <w:tab/>
            </w:r>
            <w:r>
              <w:rPr>
                <w:noProof/>
                <w:webHidden/>
              </w:rPr>
              <w:fldChar w:fldCharType="begin"/>
            </w:r>
            <w:r>
              <w:rPr>
                <w:noProof/>
                <w:webHidden/>
              </w:rPr>
              <w:instrText xml:space="preserve"> PAGEREF _Toc188804269 \h </w:instrText>
            </w:r>
            <w:r>
              <w:rPr>
                <w:noProof/>
                <w:webHidden/>
              </w:rPr>
            </w:r>
            <w:r>
              <w:rPr>
                <w:noProof/>
                <w:webHidden/>
              </w:rPr>
              <w:fldChar w:fldCharType="separate"/>
            </w:r>
            <w:r>
              <w:rPr>
                <w:noProof/>
                <w:webHidden/>
              </w:rPr>
              <w:t>5</w:t>
            </w:r>
            <w:r>
              <w:rPr>
                <w:noProof/>
                <w:webHidden/>
              </w:rPr>
              <w:fldChar w:fldCharType="end"/>
            </w:r>
          </w:hyperlink>
        </w:p>
        <w:p w14:paraId="5A5D60F6" w14:textId="009C6707" w:rsidR="006974B7" w:rsidRDefault="006974B7">
          <w:pPr>
            <w:pStyle w:val="TOC1"/>
            <w:tabs>
              <w:tab w:val="right" w:leader="dot" w:pos="9350"/>
            </w:tabs>
            <w:rPr>
              <w:noProof/>
            </w:rPr>
          </w:pPr>
          <w:hyperlink w:anchor="_Toc188804270" w:history="1">
            <w:r w:rsidRPr="00756C68">
              <w:rPr>
                <w:rStyle w:val="Hyperlink"/>
                <w:noProof/>
              </w:rPr>
              <w:t>References</w:t>
            </w:r>
            <w:r>
              <w:rPr>
                <w:noProof/>
                <w:webHidden/>
              </w:rPr>
              <w:tab/>
            </w:r>
            <w:r>
              <w:rPr>
                <w:noProof/>
                <w:webHidden/>
              </w:rPr>
              <w:fldChar w:fldCharType="begin"/>
            </w:r>
            <w:r>
              <w:rPr>
                <w:noProof/>
                <w:webHidden/>
              </w:rPr>
              <w:instrText xml:space="preserve"> PAGEREF _Toc188804270 \h </w:instrText>
            </w:r>
            <w:r>
              <w:rPr>
                <w:noProof/>
                <w:webHidden/>
              </w:rPr>
            </w:r>
            <w:r>
              <w:rPr>
                <w:noProof/>
                <w:webHidden/>
              </w:rPr>
              <w:fldChar w:fldCharType="separate"/>
            </w:r>
            <w:r>
              <w:rPr>
                <w:noProof/>
                <w:webHidden/>
              </w:rPr>
              <w:t>8</w:t>
            </w:r>
            <w:r>
              <w:rPr>
                <w:noProof/>
                <w:webHidden/>
              </w:rPr>
              <w:fldChar w:fldCharType="end"/>
            </w:r>
          </w:hyperlink>
        </w:p>
        <w:p w14:paraId="4F2A536C" w14:textId="0B293583" w:rsidR="006974B7" w:rsidRDefault="006974B7">
          <w:r>
            <w:rPr>
              <w:b/>
              <w:bCs/>
              <w:noProof/>
            </w:rPr>
            <w:fldChar w:fldCharType="end"/>
          </w:r>
        </w:p>
      </w:sdtContent>
    </w:sdt>
    <w:p w14:paraId="31E1EEBE" w14:textId="77777777" w:rsidR="00EA527A" w:rsidRDefault="00EA527A" w:rsidP="004B4E80">
      <w:pPr>
        <w:pStyle w:val="Heading1"/>
        <w:jc w:val="center"/>
      </w:pPr>
      <w:bookmarkStart w:id="0" w:name="_Toc188804262"/>
      <w:r>
        <w:t>Research Proposal</w:t>
      </w:r>
      <w:bookmarkEnd w:id="0"/>
    </w:p>
    <w:p w14:paraId="4390B096" w14:textId="77777777" w:rsidR="00EA527A" w:rsidRDefault="00EA527A" w:rsidP="004B4E80">
      <w:pPr>
        <w:jc w:val="center"/>
      </w:pPr>
    </w:p>
    <w:p w14:paraId="20D341DC" w14:textId="77777777" w:rsidR="00EA527A" w:rsidRDefault="00EA527A" w:rsidP="004B4E80">
      <w:pPr>
        <w:pStyle w:val="Title"/>
        <w:jc w:val="center"/>
      </w:pPr>
      <w:r>
        <w:t>Impact of the Global Financial Cycle on the GDP Growth of Bangladesh</w:t>
      </w:r>
    </w:p>
    <w:p w14:paraId="117788BF" w14:textId="77777777" w:rsidR="00EA527A" w:rsidRDefault="00EA527A" w:rsidP="00EA527A"/>
    <w:p w14:paraId="31C5CC19" w14:textId="3D57226D" w:rsidR="00EA527A" w:rsidRDefault="00EA527A" w:rsidP="004B4E80">
      <w:pPr>
        <w:pStyle w:val="Heading1"/>
      </w:pPr>
      <w:bookmarkStart w:id="1" w:name="_Toc188804263"/>
      <w:r>
        <w:t>Introduction</w:t>
      </w:r>
      <w:bookmarkEnd w:id="1"/>
    </w:p>
    <w:p w14:paraId="0C33A437" w14:textId="77777777" w:rsidR="00EA527A" w:rsidRDefault="00EA527A" w:rsidP="00EA527A"/>
    <w:p w14:paraId="342F903F" w14:textId="7EF4B433" w:rsidR="00EA527A" w:rsidRPr="00176557" w:rsidRDefault="00EA527A" w:rsidP="00EA527A">
      <w:pPr>
        <w:rPr>
          <w:sz w:val="26"/>
          <w:szCs w:val="26"/>
        </w:rPr>
      </w:pPr>
      <w:r w:rsidRPr="00176557">
        <w:rPr>
          <w:sz w:val="26"/>
          <w:szCs w:val="26"/>
        </w:rPr>
        <w:t xml:space="preserve">The global financial cycle (GFC) refers to </w:t>
      </w:r>
      <w:r w:rsidR="004B4E80" w:rsidRPr="00176557">
        <w:rPr>
          <w:sz w:val="26"/>
          <w:szCs w:val="26"/>
        </w:rPr>
        <w:t>fluctuating</w:t>
      </w:r>
      <w:r w:rsidRPr="00176557">
        <w:rPr>
          <w:sz w:val="26"/>
          <w:szCs w:val="26"/>
        </w:rPr>
        <w:t xml:space="preserve"> financial conditions worldwide, driven by changes in international credit, capital flows, and asset prices. Characterized by booms and busts, the GFC significantly influences economic dynamics across nations, particularly in the interconnected global economy of the 21st century. For developing economies like Bangladesh, which are increasingly integrating into global financial markets, the impact of the GFC is both profound and multifaceted.</w:t>
      </w:r>
      <w:sdt>
        <w:sdtPr>
          <w:rPr>
            <w:sz w:val="26"/>
            <w:szCs w:val="26"/>
          </w:rPr>
          <w:id w:val="1689334719"/>
          <w:citation/>
        </w:sdtPr>
        <w:sdtContent>
          <w:r w:rsidR="001310A2">
            <w:rPr>
              <w:sz w:val="26"/>
              <w:szCs w:val="26"/>
            </w:rPr>
            <w:fldChar w:fldCharType="begin"/>
          </w:r>
          <w:r w:rsidR="002974ED">
            <w:rPr>
              <w:sz w:val="26"/>
              <w:szCs w:val="26"/>
            </w:rPr>
            <w:instrText xml:space="preserve">CITATION Bor01 \l 1033 </w:instrText>
          </w:r>
          <w:r w:rsidR="001310A2">
            <w:rPr>
              <w:sz w:val="26"/>
              <w:szCs w:val="26"/>
            </w:rPr>
            <w:fldChar w:fldCharType="separate"/>
          </w:r>
          <w:r w:rsidR="00C72D06">
            <w:rPr>
              <w:noProof/>
              <w:sz w:val="26"/>
              <w:szCs w:val="26"/>
            </w:rPr>
            <w:t xml:space="preserve"> </w:t>
          </w:r>
          <w:r w:rsidR="00C72D06" w:rsidRPr="00C72D06">
            <w:rPr>
              <w:noProof/>
              <w:sz w:val="26"/>
              <w:szCs w:val="26"/>
            </w:rPr>
            <w:t>(Borio, Drehmann, &amp; Xia, 2001)</w:t>
          </w:r>
          <w:r w:rsidR="001310A2">
            <w:rPr>
              <w:sz w:val="26"/>
              <w:szCs w:val="26"/>
            </w:rPr>
            <w:fldChar w:fldCharType="end"/>
          </w:r>
        </w:sdtContent>
      </w:sdt>
    </w:p>
    <w:p w14:paraId="1FBD988E" w14:textId="77777777" w:rsidR="00EA527A" w:rsidRPr="00176557" w:rsidRDefault="00EA527A" w:rsidP="00EA527A">
      <w:pPr>
        <w:rPr>
          <w:sz w:val="26"/>
          <w:szCs w:val="26"/>
        </w:rPr>
      </w:pPr>
    </w:p>
    <w:p w14:paraId="479246FE" w14:textId="77777777" w:rsidR="00EA527A" w:rsidRPr="00176557" w:rsidRDefault="00EA527A" w:rsidP="00EA527A">
      <w:pPr>
        <w:rPr>
          <w:sz w:val="26"/>
          <w:szCs w:val="26"/>
        </w:rPr>
      </w:pPr>
      <w:r w:rsidRPr="00176557">
        <w:rPr>
          <w:sz w:val="26"/>
          <w:szCs w:val="26"/>
        </w:rPr>
        <w:t xml:space="preserve">Over the past two decades, Bangladesh has maintained steady economic growth, fueled by key sectors such as garment exports, remittances, and robust domestic </w:t>
      </w:r>
      <w:r w:rsidRPr="00176557">
        <w:rPr>
          <w:sz w:val="26"/>
          <w:szCs w:val="26"/>
        </w:rPr>
        <w:lastRenderedPageBreak/>
        <w:t>consumption. However, the economy remains exposed to external shocks, including those induced by global financial cycles. For example, a tightening of global financial conditions can lead to reduced capital inflows, currency depreciation, and disruptions in trade, collectively dampening GDP growth. Conversely, a favorable GFC phase, marked by low global interest rates and abundant liquidity, can stimulate economic activity by encouraging investment and trade.</w:t>
      </w:r>
    </w:p>
    <w:p w14:paraId="51BA5C15" w14:textId="77777777" w:rsidR="00EA527A" w:rsidRPr="00176557" w:rsidRDefault="00EA527A" w:rsidP="00EA527A">
      <w:pPr>
        <w:rPr>
          <w:sz w:val="24"/>
          <w:szCs w:val="24"/>
        </w:rPr>
      </w:pPr>
    </w:p>
    <w:p w14:paraId="756B7B5A" w14:textId="26F5D64D" w:rsidR="00EA527A" w:rsidRPr="00176557" w:rsidRDefault="00EA527A" w:rsidP="00EA527A">
      <w:pPr>
        <w:rPr>
          <w:sz w:val="26"/>
          <w:szCs w:val="26"/>
        </w:rPr>
      </w:pPr>
      <w:r w:rsidRPr="00176557">
        <w:rPr>
          <w:sz w:val="26"/>
          <w:szCs w:val="26"/>
        </w:rPr>
        <w:t>Despite the relevance of the GFC, limited research has explored its direct and indirect effects on Bangladesh. While global studies have examined the GFC's influence on emerging markets, the specific transmission channels and implications for Bangladesh remain underexplored. This research aims to address this gap by analyzing the mechanisms through which the global financial cycle affects Bangladesh’s GDP growth. It will identify the key transmission channels and propose policy recommendations to bolster economic resilience</w:t>
      </w:r>
      <w:r w:rsidR="00D74927">
        <w:rPr>
          <w:sz w:val="26"/>
          <w:szCs w:val="26"/>
        </w:rPr>
        <w:t>.</w:t>
      </w:r>
      <w:sdt>
        <w:sdtPr>
          <w:rPr>
            <w:sz w:val="26"/>
            <w:szCs w:val="26"/>
          </w:rPr>
          <w:id w:val="-340015385"/>
          <w:citation/>
        </w:sdtPr>
        <w:sdtContent>
          <w:r w:rsidR="00D74927">
            <w:rPr>
              <w:sz w:val="26"/>
              <w:szCs w:val="26"/>
            </w:rPr>
            <w:fldChar w:fldCharType="begin"/>
          </w:r>
          <w:r w:rsidR="00D74927">
            <w:rPr>
              <w:sz w:val="26"/>
              <w:szCs w:val="26"/>
            </w:rPr>
            <w:instrText xml:space="preserve"> CITATION Mir15 \l 1033 </w:instrText>
          </w:r>
          <w:r w:rsidR="00D74927">
            <w:rPr>
              <w:sz w:val="26"/>
              <w:szCs w:val="26"/>
            </w:rPr>
            <w:fldChar w:fldCharType="separate"/>
          </w:r>
          <w:r w:rsidR="00D74927">
            <w:rPr>
              <w:noProof/>
              <w:sz w:val="26"/>
              <w:szCs w:val="26"/>
            </w:rPr>
            <w:t xml:space="preserve"> </w:t>
          </w:r>
          <w:r w:rsidR="00D74927" w:rsidRPr="00D74927">
            <w:rPr>
              <w:noProof/>
              <w:sz w:val="26"/>
              <w:szCs w:val="26"/>
            </w:rPr>
            <w:t>(Miranda-Agrippino &amp; Reey, 2015)</w:t>
          </w:r>
          <w:r w:rsidR="00D74927">
            <w:rPr>
              <w:sz w:val="26"/>
              <w:szCs w:val="26"/>
            </w:rPr>
            <w:fldChar w:fldCharType="end"/>
          </w:r>
        </w:sdtContent>
      </w:sdt>
    </w:p>
    <w:p w14:paraId="376810D9" w14:textId="77777777" w:rsidR="00EA527A" w:rsidRPr="00176557" w:rsidRDefault="00EA527A" w:rsidP="00EA527A">
      <w:pPr>
        <w:rPr>
          <w:sz w:val="26"/>
          <w:szCs w:val="26"/>
        </w:rPr>
      </w:pPr>
    </w:p>
    <w:p w14:paraId="2E5B3710" w14:textId="53A2BA20" w:rsidR="00EA527A" w:rsidRPr="00176557" w:rsidRDefault="00EA527A" w:rsidP="00EA527A">
      <w:pPr>
        <w:rPr>
          <w:sz w:val="26"/>
          <w:szCs w:val="26"/>
        </w:rPr>
      </w:pPr>
      <w:r w:rsidRPr="00176557">
        <w:rPr>
          <w:sz w:val="26"/>
          <w:szCs w:val="26"/>
        </w:rPr>
        <w:t>This study tests the hypothesis that global financial conditions (independent variable) influence GDP growth in Bangladesh (dependent variable). Key control variables include exchange rate dynamics, trade volumes, and inflation, which are critical macroeconomic factors. The independent variable will be represented by a composite index of the US Federal Funds Rate, Global Credit-to-GDP Ratio, and VIX (Volatility Index). GDP growth will be measured as the annual percentage change in real GDP.</w:t>
      </w:r>
      <w:sdt>
        <w:sdtPr>
          <w:rPr>
            <w:sz w:val="26"/>
            <w:szCs w:val="26"/>
          </w:rPr>
          <w:id w:val="133309675"/>
          <w:citation/>
        </w:sdtPr>
        <w:sdtContent>
          <w:r w:rsidR="00D74927">
            <w:rPr>
              <w:sz w:val="26"/>
              <w:szCs w:val="26"/>
            </w:rPr>
            <w:fldChar w:fldCharType="begin"/>
          </w:r>
          <w:r w:rsidR="00D74927">
            <w:rPr>
              <w:sz w:val="26"/>
              <w:szCs w:val="26"/>
            </w:rPr>
            <w:instrText xml:space="preserve">CITATION Dre12 \l 1033 </w:instrText>
          </w:r>
          <w:r w:rsidR="00D74927">
            <w:rPr>
              <w:sz w:val="26"/>
              <w:szCs w:val="26"/>
            </w:rPr>
            <w:fldChar w:fldCharType="separate"/>
          </w:r>
          <w:r w:rsidR="00D74927">
            <w:rPr>
              <w:noProof/>
              <w:sz w:val="26"/>
              <w:szCs w:val="26"/>
            </w:rPr>
            <w:t xml:space="preserve"> </w:t>
          </w:r>
          <w:r w:rsidR="00D74927" w:rsidRPr="00D74927">
            <w:rPr>
              <w:noProof/>
              <w:sz w:val="26"/>
              <w:szCs w:val="26"/>
            </w:rPr>
            <w:t>(Drehman &amp; al, 2012)</w:t>
          </w:r>
          <w:r w:rsidR="00D74927">
            <w:rPr>
              <w:sz w:val="26"/>
              <w:szCs w:val="26"/>
            </w:rPr>
            <w:fldChar w:fldCharType="end"/>
          </w:r>
        </w:sdtContent>
      </w:sdt>
    </w:p>
    <w:p w14:paraId="73929BBE" w14:textId="77777777" w:rsidR="00EA527A" w:rsidRPr="00176557" w:rsidRDefault="00EA527A" w:rsidP="00EA527A">
      <w:pPr>
        <w:rPr>
          <w:sz w:val="26"/>
          <w:szCs w:val="26"/>
        </w:rPr>
      </w:pPr>
    </w:p>
    <w:p w14:paraId="5A6DB664" w14:textId="529BD301" w:rsidR="00EA527A" w:rsidRPr="00176557" w:rsidRDefault="00EA527A" w:rsidP="00EA527A">
      <w:pPr>
        <w:rPr>
          <w:sz w:val="26"/>
          <w:szCs w:val="26"/>
        </w:rPr>
      </w:pPr>
      <w:r w:rsidRPr="00176557">
        <w:rPr>
          <w:sz w:val="26"/>
          <w:szCs w:val="26"/>
        </w:rPr>
        <w:t>Understanding the implications of the GFC on developing economies like Bangladesh extends beyond academic relevance. It provides actionable insights for policymakers to craft strategies that insulate the economy from adverse global shocks. As globalization deepens, the dynamics of global liquidity, trade, and capital flows become increasingly vital for nations striving to maintain economic stability. Additionally, Bangladesh's experiences could offer valuable lessons for other emerging economies navigating similar vulnerabilities.</w:t>
      </w:r>
      <w:sdt>
        <w:sdtPr>
          <w:rPr>
            <w:sz w:val="26"/>
            <w:szCs w:val="26"/>
          </w:rPr>
          <w:id w:val="-1060477622"/>
          <w:citation/>
        </w:sdtPr>
        <w:sdtContent>
          <w:r w:rsidR="00707C88">
            <w:rPr>
              <w:sz w:val="26"/>
              <w:szCs w:val="26"/>
            </w:rPr>
            <w:fldChar w:fldCharType="begin"/>
          </w:r>
          <w:r w:rsidR="00707C88">
            <w:rPr>
              <w:sz w:val="26"/>
              <w:szCs w:val="26"/>
            </w:rPr>
            <w:instrText xml:space="preserve">CITATION Cer19 \l 1033 </w:instrText>
          </w:r>
          <w:r w:rsidR="00707C88">
            <w:rPr>
              <w:sz w:val="26"/>
              <w:szCs w:val="26"/>
            </w:rPr>
            <w:fldChar w:fldCharType="separate"/>
          </w:r>
          <w:r w:rsidR="00707C88">
            <w:rPr>
              <w:noProof/>
              <w:sz w:val="26"/>
              <w:szCs w:val="26"/>
            </w:rPr>
            <w:t xml:space="preserve"> </w:t>
          </w:r>
          <w:r w:rsidR="00707C88" w:rsidRPr="00707C88">
            <w:rPr>
              <w:noProof/>
              <w:sz w:val="26"/>
              <w:szCs w:val="26"/>
            </w:rPr>
            <w:t>(Ceratti &amp; al., 1019)</w:t>
          </w:r>
          <w:r w:rsidR="00707C88">
            <w:rPr>
              <w:sz w:val="26"/>
              <w:szCs w:val="26"/>
            </w:rPr>
            <w:fldChar w:fldCharType="end"/>
          </w:r>
        </w:sdtContent>
      </w:sdt>
    </w:p>
    <w:p w14:paraId="3DFB0999" w14:textId="77777777" w:rsidR="00EA527A" w:rsidRPr="00176557" w:rsidRDefault="00EA527A" w:rsidP="00EA527A">
      <w:pPr>
        <w:rPr>
          <w:sz w:val="26"/>
          <w:szCs w:val="26"/>
        </w:rPr>
      </w:pPr>
    </w:p>
    <w:p w14:paraId="7BE14E5D" w14:textId="77777777" w:rsidR="00EA527A" w:rsidRDefault="00EA527A" w:rsidP="00EA527A"/>
    <w:p w14:paraId="0D88326F" w14:textId="4C905BCF" w:rsidR="00EA527A" w:rsidRDefault="00EA527A" w:rsidP="004B4E80">
      <w:pPr>
        <w:pStyle w:val="Heading1"/>
      </w:pPr>
      <w:bookmarkStart w:id="2" w:name="_Toc188804264"/>
      <w:r>
        <w:lastRenderedPageBreak/>
        <w:t>Research Objectives</w:t>
      </w:r>
      <w:bookmarkEnd w:id="2"/>
    </w:p>
    <w:p w14:paraId="3D038E7D" w14:textId="77777777" w:rsidR="00EA527A" w:rsidRDefault="00EA527A" w:rsidP="00EA527A"/>
    <w:p w14:paraId="3B7B4A59" w14:textId="66114AED" w:rsidR="00EA527A" w:rsidRPr="00176557" w:rsidRDefault="00EA527A" w:rsidP="00EA527A">
      <w:pPr>
        <w:rPr>
          <w:sz w:val="26"/>
          <w:szCs w:val="26"/>
        </w:rPr>
      </w:pPr>
      <w:r w:rsidRPr="00176557">
        <w:rPr>
          <w:sz w:val="26"/>
          <w:szCs w:val="26"/>
        </w:rPr>
        <w:t>1. To analyze the relationship between the global financial cycle and GDP growth in Bangladesh.</w:t>
      </w:r>
      <w:r w:rsidR="004B4E80" w:rsidRPr="00176557">
        <w:rPr>
          <w:sz w:val="26"/>
          <w:szCs w:val="26"/>
        </w:rPr>
        <w:t xml:space="preserve"> </w:t>
      </w:r>
      <w:r w:rsidRPr="00176557">
        <w:rPr>
          <w:sz w:val="26"/>
          <w:szCs w:val="26"/>
        </w:rPr>
        <w:t>This objective involves quantifying the degree to which changes in global financial conditions influence the trajectory of Bangladesh's economic growth.</w:t>
      </w:r>
      <w:sdt>
        <w:sdtPr>
          <w:rPr>
            <w:sz w:val="26"/>
            <w:szCs w:val="26"/>
          </w:rPr>
          <w:id w:val="1298721716"/>
          <w:citation/>
        </w:sdtPr>
        <w:sdtContent>
          <w:r w:rsidR="00707C88">
            <w:rPr>
              <w:sz w:val="26"/>
              <w:szCs w:val="26"/>
            </w:rPr>
            <w:fldChar w:fldCharType="begin"/>
          </w:r>
          <w:r w:rsidR="00707C88">
            <w:rPr>
              <w:sz w:val="26"/>
              <w:szCs w:val="26"/>
            </w:rPr>
            <w:instrText xml:space="preserve"> CITATION Ald20 \l 1033 </w:instrText>
          </w:r>
          <w:r w:rsidR="00707C88">
            <w:rPr>
              <w:sz w:val="26"/>
              <w:szCs w:val="26"/>
            </w:rPr>
            <w:fldChar w:fldCharType="separate"/>
          </w:r>
          <w:r w:rsidR="00707C88">
            <w:rPr>
              <w:noProof/>
              <w:sz w:val="26"/>
              <w:szCs w:val="26"/>
            </w:rPr>
            <w:t xml:space="preserve"> </w:t>
          </w:r>
          <w:r w:rsidR="00707C88" w:rsidRPr="00707C88">
            <w:rPr>
              <w:noProof/>
              <w:sz w:val="26"/>
              <w:szCs w:val="26"/>
            </w:rPr>
            <w:t>(Aldasoro &amp; al., 2020)</w:t>
          </w:r>
          <w:r w:rsidR="00707C88">
            <w:rPr>
              <w:sz w:val="26"/>
              <w:szCs w:val="26"/>
            </w:rPr>
            <w:fldChar w:fldCharType="end"/>
          </w:r>
        </w:sdtContent>
      </w:sdt>
    </w:p>
    <w:p w14:paraId="232A5127" w14:textId="31139508" w:rsidR="00EA527A" w:rsidRPr="00176557" w:rsidRDefault="00EA527A" w:rsidP="00EA527A">
      <w:pPr>
        <w:rPr>
          <w:sz w:val="24"/>
          <w:szCs w:val="24"/>
        </w:rPr>
      </w:pPr>
      <w:r w:rsidRPr="00176557">
        <w:rPr>
          <w:sz w:val="26"/>
          <w:szCs w:val="26"/>
        </w:rPr>
        <w:t>2.</w:t>
      </w:r>
      <w:r w:rsidR="004B4E80" w:rsidRPr="00176557">
        <w:rPr>
          <w:sz w:val="26"/>
          <w:szCs w:val="26"/>
        </w:rPr>
        <w:t xml:space="preserve"> </w:t>
      </w:r>
      <w:r w:rsidRPr="00176557">
        <w:rPr>
          <w:sz w:val="26"/>
          <w:szCs w:val="26"/>
        </w:rPr>
        <w:t>To identify the primary transmission channels, such as capital flows, trade, and exchange rate fluctuations, through which the GFC affects Bangladesh. Understanding these channels will provide insights into how global financial conditions permeate the Bangladeshi economy</w:t>
      </w:r>
      <w:r w:rsidRPr="00176557">
        <w:rPr>
          <w:sz w:val="24"/>
          <w:szCs w:val="24"/>
        </w:rPr>
        <w:t>.</w:t>
      </w:r>
      <w:sdt>
        <w:sdtPr>
          <w:rPr>
            <w:sz w:val="24"/>
            <w:szCs w:val="24"/>
          </w:rPr>
          <w:id w:val="1543253569"/>
          <w:citation/>
        </w:sdtPr>
        <w:sdtContent>
          <w:r w:rsidR="00707C88">
            <w:rPr>
              <w:sz w:val="24"/>
              <w:szCs w:val="24"/>
            </w:rPr>
            <w:fldChar w:fldCharType="begin"/>
          </w:r>
          <w:r w:rsidR="00707C88">
            <w:rPr>
              <w:sz w:val="24"/>
              <w:szCs w:val="24"/>
            </w:rPr>
            <w:instrText xml:space="preserve"> CITATION Cer19 \l 1033 </w:instrText>
          </w:r>
          <w:r w:rsidR="00707C88">
            <w:rPr>
              <w:sz w:val="24"/>
              <w:szCs w:val="24"/>
            </w:rPr>
            <w:fldChar w:fldCharType="separate"/>
          </w:r>
          <w:r w:rsidR="00707C88">
            <w:rPr>
              <w:noProof/>
              <w:sz w:val="24"/>
              <w:szCs w:val="24"/>
            </w:rPr>
            <w:t xml:space="preserve"> </w:t>
          </w:r>
          <w:r w:rsidR="00707C88" w:rsidRPr="00707C88">
            <w:rPr>
              <w:noProof/>
              <w:sz w:val="24"/>
              <w:szCs w:val="24"/>
            </w:rPr>
            <w:t>(Ceratti &amp; al., 1019)</w:t>
          </w:r>
          <w:r w:rsidR="00707C88">
            <w:rPr>
              <w:sz w:val="24"/>
              <w:szCs w:val="24"/>
            </w:rPr>
            <w:fldChar w:fldCharType="end"/>
          </w:r>
        </w:sdtContent>
      </w:sdt>
    </w:p>
    <w:p w14:paraId="7FA8F53C" w14:textId="2A552AD3" w:rsidR="00EA527A" w:rsidRDefault="00EA527A" w:rsidP="00EA527A">
      <w:r w:rsidRPr="00176557">
        <w:rPr>
          <w:sz w:val="26"/>
          <w:szCs w:val="26"/>
        </w:rPr>
        <w:t>3.</w:t>
      </w:r>
      <w:r w:rsidR="004B4E80" w:rsidRPr="00176557">
        <w:rPr>
          <w:sz w:val="26"/>
          <w:szCs w:val="26"/>
        </w:rPr>
        <w:t xml:space="preserve"> </w:t>
      </w:r>
      <w:r w:rsidRPr="00176557">
        <w:rPr>
          <w:sz w:val="26"/>
          <w:szCs w:val="26"/>
        </w:rPr>
        <w:t>To provide actionable policy recommendations to enhance Bangladesh's economic resilience against global financial shocks. This includes strategies for macroeconomic stability, financial regulation, and institutional reforms</w:t>
      </w:r>
      <w:r>
        <w:t>.</w:t>
      </w:r>
      <w:sdt>
        <w:sdtPr>
          <w:id w:val="-1300683308"/>
          <w:citation/>
        </w:sdtPr>
        <w:sdtContent>
          <w:r w:rsidR="00707C88">
            <w:fldChar w:fldCharType="begin"/>
          </w:r>
          <w:r w:rsidR="00707C88">
            <w:instrText xml:space="preserve"> CITATION Oma19 \l 1033 </w:instrText>
          </w:r>
          <w:r w:rsidR="00707C88">
            <w:fldChar w:fldCharType="separate"/>
          </w:r>
          <w:r w:rsidR="00707C88">
            <w:rPr>
              <w:noProof/>
            </w:rPr>
            <w:t xml:space="preserve"> (Oman, 2019)</w:t>
          </w:r>
          <w:r w:rsidR="00707C88">
            <w:fldChar w:fldCharType="end"/>
          </w:r>
        </w:sdtContent>
      </w:sdt>
    </w:p>
    <w:p w14:paraId="0FD5072B" w14:textId="77777777" w:rsidR="00EA527A" w:rsidRDefault="00EA527A" w:rsidP="00EA527A"/>
    <w:p w14:paraId="7A80C692" w14:textId="0067FA1A" w:rsidR="00EA527A" w:rsidRDefault="00EA527A" w:rsidP="004B4E80">
      <w:pPr>
        <w:pStyle w:val="Heading1"/>
      </w:pPr>
      <w:bookmarkStart w:id="3" w:name="_Toc188804265"/>
      <w:r>
        <w:t>Additional Focus Areas</w:t>
      </w:r>
      <w:bookmarkEnd w:id="3"/>
    </w:p>
    <w:p w14:paraId="394ED9F5" w14:textId="77777777" w:rsidR="00EA527A" w:rsidRDefault="00EA527A" w:rsidP="00EA527A"/>
    <w:p w14:paraId="210C5CDB" w14:textId="77777777" w:rsidR="00EA527A" w:rsidRPr="00176557" w:rsidRDefault="00EA527A" w:rsidP="00EA527A">
      <w:pPr>
        <w:rPr>
          <w:sz w:val="26"/>
          <w:szCs w:val="26"/>
        </w:rPr>
      </w:pPr>
      <w:r w:rsidRPr="00176557">
        <w:rPr>
          <w:sz w:val="26"/>
          <w:szCs w:val="26"/>
        </w:rPr>
        <w:t>- Investigating the role of regional trade agreements and partnerships in mitigating GFC impacts.</w:t>
      </w:r>
    </w:p>
    <w:p w14:paraId="7252F0A8" w14:textId="77777777" w:rsidR="00EA527A" w:rsidRPr="00176557" w:rsidRDefault="00EA527A" w:rsidP="00EA527A">
      <w:pPr>
        <w:rPr>
          <w:sz w:val="26"/>
          <w:szCs w:val="26"/>
        </w:rPr>
      </w:pPr>
      <w:r w:rsidRPr="00176557">
        <w:rPr>
          <w:sz w:val="26"/>
          <w:szCs w:val="26"/>
        </w:rPr>
        <w:t>- Assessing the contribution of remittance flows in cushioning external shocks.</w:t>
      </w:r>
    </w:p>
    <w:p w14:paraId="72E75896" w14:textId="77777777" w:rsidR="00EA527A" w:rsidRPr="00176557" w:rsidRDefault="00EA527A" w:rsidP="00EA527A">
      <w:pPr>
        <w:rPr>
          <w:sz w:val="26"/>
          <w:szCs w:val="26"/>
        </w:rPr>
      </w:pPr>
      <w:r w:rsidRPr="00176557">
        <w:rPr>
          <w:sz w:val="26"/>
          <w:szCs w:val="26"/>
        </w:rPr>
        <w:t>- Exploring sector-specific vulnerabilities, such as the ready-made garments (RMG) industry.</w:t>
      </w:r>
    </w:p>
    <w:p w14:paraId="303E6090" w14:textId="77777777" w:rsidR="00EA527A" w:rsidRDefault="00EA527A" w:rsidP="00EA527A"/>
    <w:p w14:paraId="1FCACAF7" w14:textId="77777777" w:rsidR="00EA527A" w:rsidRDefault="00EA527A" w:rsidP="00EA527A"/>
    <w:p w14:paraId="1602B96C" w14:textId="77777777" w:rsidR="004B4E80" w:rsidRDefault="004B4E80" w:rsidP="00EA527A"/>
    <w:p w14:paraId="41D921E6" w14:textId="13BEA6B1" w:rsidR="00EA527A" w:rsidRDefault="00EA527A" w:rsidP="004B4E80">
      <w:pPr>
        <w:pStyle w:val="Heading1"/>
      </w:pPr>
      <w:r>
        <w:t xml:space="preserve"> </w:t>
      </w:r>
      <w:bookmarkStart w:id="4" w:name="_Toc188804266"/>
      <w:r>
        <w:t>Research Questions</w:t>
      </w:r>
      <w:bookmarkEnd w:id="4"/>
    </w:p>
    <w:p w14:paraId="41F648ED" w14:textId="77777777" w:rsidR="00EA527A" w:rsidRDefault="00EA527A" w:rsidP="00EA527A"/>
    <w:p w14:paraId="205873CE" w14:textId="77777777" w:rsidR="00EA527A" w:rsidRPr="00176557" w:rsidRDefault="00EA527A" w:rsidP="00EA527A">
      <w:pPr>
        <w:rPr>
          <w:sz w:val="26"/>
          <w:szCs w:val="26"/>
        </w:rPr>
      </w:pPr>
      <w:r w:rsidRPr="00176557">
        <w:rPr>
          <w:sz w:val="26"/>
          <w:szCs w:val="26"/>
        </w:rPr>
        <w:t>1. What is the relationship between the global financial cycle and GDP growth in Bangladesh?</w:t>
      </w:r>
    </w:p>
    <w:p w14:paraId="7C5F7927" w14:textId="77777777" w:rsidR="00EA527A" w:rsidRPr="00176557" w:rsidRDefault="00EA527A" w:rsidP="00EA527A">
      <w:pPr>
        <w:rPr>
          <w:sz w:val="26"/>
          <w:szCs w:val="26"/>
        </w:rPr>
      </w:pPr>
      <w:r w:rsidRPr="00176557">
        <w:rPr>
          <w:sz w:val="26"/>
          <w:szCs w:val="26"/>
        </w:rPr>
        <w:lastRenderedPageBreak/>
        <w:t>2. Which transmission channels play the most significant role in linking the GFC to Bangladesh’s economy?</w:t>
      </w:r>
    </w:p>
    <w:p w14:paraId="75B7CCC5" w14:textId="77777777" w:rsidR="00EA527A" w:rsidRPr="00176557" w:rsidRDefault="00EA527A" w:rsidP="00EA527A">
      <w:pPr>
        <w:rPr>
          <w:sz w:val="26"/>
          <w:szCs w:val="26"/>
        </w:rPr>
      </w:pPr>
      <w:r w:rsidRPr="00176557">
        <w:rPr>
          <w:sz w:val="26"/>
          <w:szCs w:val="26"/>
        </w:rPr>
        <w:t>3. What policy measures can strengthen Bangladesh’s economic resilience to global financial shocks?</w:t>
      </w:r>
    </w:p>
    <w:p w14:paraId="2737884C" w14:textId="77777777" w:rsidR="00EA527A" w:rsidRPr="00176557" w:rsidRDefault="00EA527A" w:rsidP="00EA527A">
      <w:pPr>
        <w:rPr>
          <w:sz w:val="26"/>
          <w:szCs w:val="26"/>
        </w:rPr>
      </w:pPr>
      <w:r w:rsidRPr="00176557">
        <w:rPr>
          <w:sz w:val="26"/>
          <w:szCs w:val="26"/>
        </w:rPr>
        <w:t>4. How do remittances and foreign direct investment (FDI) act as buffers or amplifiers during GFC phases?</w:t>
      </w:r>
    </w:p>
    <w:p w14:paraId="18748049" w14:textId="77777777" w:rsidR="00EA527A" w:rsidRPr="00176557" w:rsidRDefault="00EA527A" w:rsidP="00EA527A">
      <w:pPr>
        <w:rPr>
          <w:sz w:val="26"/>
          <w:szCs w:val="26"/>
        </w:rPr>
      </w:pPr>
      <w:r w:rsidRPr="00176557">
        <w:rPr>
          <w:sz w:val="26"/>
          <w:szCs w:val="26"/>
        </w:rPr>
        <w:t>5. What role does domestic financial market development play in mitigating external vulnerabilities?</w:t>
      </w:r>
    </w:p>
    <w:p w14:paraId="486A3E98" w14:textId="77777777" w:rsidR="00EA527A" w:rsidRDefault="00EA527A" w:rsidP="00EA527A"/>
    <w:p w14:paraId="4FA3EA46" w14:textId="77777777" w:rsidR="00EA527A" w:rsidRDefault="00EA527A" w:rsidP="00EA527A"/>
    <w:p w14:paraId="5E5F5F90" w14:textId="26F4379B" w:rsidR="00EA527A" w:rsidRDefault="00EA527A" w:rsidP="004B4E80">
      <w:pPr>
        <w:pStyle w:val="Heading1"/>
      </w:pPr>
      <w:bookmarkStart w:id="5" w:name="_Toc188804267"/>
      <w:r>
        <w:t>Literature Review</w:t>
      </w:r>
      <w:bookmarkEnd w:id="5"/>
    </w:p>
    <w:p w14:paraId="0BE1F2E1" w14:textId="77777777" w:rsidR="00EA527A" w:rsidRDefault="00EA527A" w:rsidP="00EA527A"/>
    <w:p w14:paraId="762F53DD" w14:textId="67DFB316" w:rsidR="00EA527A" w:rsidRPr="00176557" w:rsidRDefault="00EA527A" w:rsidP="00EA527A">
      <w:pPr>
        <w:rPr>
          <w:sz w:val="26"/>
          <w:szCs w:val="26"/>
        </w:rPr>
      </w:pPr>
      <w:r w:rsidRPr="00176557">
        <w:rPr>
          <w:sz w:val="26"/>
          <w:szCs w:val="26"/>
        </w:rPr>
        <w:t>The concept of financial cycles has gained traction in economic research due to its relevance in explaining the synchronization and vulnerability of economies in an interconnected world.</w:t>
      </w:r>
      <w:sdt>
        <w:sdtPr>
          <w:rPr>
            <w:sz w:val="26"/>
            <w:szCs w:val="26"/>
          </w:rPr>
          <w:id w:val="962468788"/>
          <w:citation/>
        </w:sdtPr>
        <w:sdtContent>
          <w:r w:rsidR="00D227FC">
            <w:rPr>
              <w:sz w:val="26"/>
              <w:szCs w:val="26"/>
            </w:rPr>
            <w:fldChar w:fldCharType="begin"/>
          </w:r>
          <w:r w:rsidR="00D227FC">
            <w:rPr>
              <w:sz w:val="26"/>
              <w:szCs w:val="26"/>
            </w:rPr>
            <w:instrText xml:space="preserve">CITATION Bor14 \l 1033 </w:instrText>
          </w:r>
          <w:r w:rsidR="00D227FC">
            <w:rPr>
              <w:sz w:val="26"/>
              <w:szCs w:val="26"/>
            </w:rPr>
            <w:fldChar w:fldCharType="separate"/>
          </w:r>
          <w:r w:rsidR="00D227FC">
            <w:rPr>
              <w:noProof/>
              <w:sz w:val="26"/>
              <w:szCs w:val="26"/>
            </w:rPr>
            <w:t xml:space="preserve"> </w:t>
          </w:r>
          <w:r w:rsidR="00D227FC" w:rsidRPr="00D227FC">
            <w:rPr>
              <w:noProof/>
              <w:sz w:val="26"/>
              <w:szCs w:val="26"/>
            </w:rPr>
            <w:t>(Borio C. , 2014)</w:t>
          </w:r>
          <w:r w:rsidR="00D227FC">
            <w:rPr>
              <w:sz w:val="26"/>
              <w:szCs w:val="26"/>
            </w:rPr>
            <w:fldChar w:fldCharType="end"/>
          </w:r>
        </w:sdtContent>
      </w:sdt>
      <w:r w:rsidRPr="00176557">
        <w:rPr>
          <w:sz w:val="26"/>
          <w:szCs w:val="26"/>
        </w:rPr>
        <w:t xml:space="preserve"> emphasizes that financial cycles—long-term fluctuations in credit, asset prices, and systemic risk—have a profound influence on macroeconomic stability.</w:t>
      </w:r>
      <w:sdt>
        <w:sdtPr>
          <w:rPr>
            <w:sz w:val="26"/>
            <w:szCs w:val="26"/>
          </w:rPr>
          <w:id w:val="-240651941"/>
          <w:citation/>
        </w:sdtPr>
        <w:sdtContent>
          <w:r w:rsidR="00D227FC">
            <w:rPr>
              <w:sz w:val="26"/>
              <w:szCs w:val="26"/>
            </w:rPr>
            <w:fldChar w:fldCharType="begin"/>
          </w:r>
          <w:r w:rsidR="00D227FC">
            <w:rPr>
              <w:sz w:val="26"/>
              <w:szCs w:val="26"/>
            </w:rPr>
            <w:instrText xml:space="preserve"> CITATION Mir15 \l 1033 </w:instrText>
          </w:r>
          <w:r w:rsidR="00D227FC">
            <w:rPr>
              <w:sz w:val="26"/>
              <w:szCs w:val="26"/>
            </w:rPr>
            <w:fldChar w:fldCharType="separate"/>
          </w:r>
          <w:r w:rsidR="00D227FC">
            <w:rPr>
              <w:noProof/>
              <w:sz w:val="26"/>
              <w:szCs w:val="26"/>
            </w:rPr>
            <w:t xml:space="preserve"> </w:t>
          </w:r>
          <w:r w:rsidR="00D227FC" w:rsidRPr="00D227FC">
            <w:rPr>
              <w:noProof/>
              <w:sz w:val="26"/>
              <w:szCs w:val="26"/>
            </w:rPr>
            <w:t>(Miranda-Agrippino &amp; Reey, 2015)</w:t>
          </w:r>
          <w:r w:rsidR="00D227FC">
            <w:rPr>
              <w:sz w:val="26"/>
              <w:szCs w:val="26"/>
            </w:rPr>
            <w:fldChar w:fldCharType="end"/>
          </w:r>
        </w:sdtContent>
      </w:sdt>
      <w:r w:rsidRPr="00176557">
        <w:rPr>
          <w:sz w:val="26"/>
          <w:szCs w:val="26"/>
        </w:rPr>
        <w:t xml:space="preserve"> introduced the concept of the “global financial cycle,” linking it to the “dilemma, not trilemma” hypothesis, which argues that monetary policy independence is constrained by global financial conditions, irrespective of exchange rate regimes.</w:t>
      </w:r>
    </w:p>
    <w:p w14:paraId="10B132FC" w14:textId="77777777" w:rsidR="00EA527A" w:rsidRPr="00176557" w:rsidRDefault="00EA527A" w:rsidP="00EA527A">
      <w:pPr>
        <w:rPr>
          <w:sz w:val="26"/>
          <w:szCs w:val="26"/>
        </w:rPr>
      </w:pPr>
    </w:p>
    <w:p w14:paraId="78FD9E06" w14:textId="4302C652" w:rsidR="00EA527A" w:rsidRPr="00176557" w:rsidRDefault="00EA527A" w:rsidP="00EA527A">
      <w:pPr>
        <w:rPr>
          <w:sz w:val="24"/>
          <w:szCs w:val="24"/>
        </w:rPr>
      </w:pPr>
      <w:r w:rsidRPr="00176557">
        <w:rPr>
          <w:sz w:val="26"/>
          <w:szCs w:val="26"/>
        </w:rPr>
        <w:t xml:space="preserve">Studies by </w:t>
      </w:r>
      <w:sdt>
        <w:sdtPr>
          <w:rPr>
            <w:sz w:val="26"/>
            <w:szCs w:val="26"/>
          </w:rPr>
          <w:id w:val="-596184009"/>
          <w:citation/>
        </w:sdtPr>
        <w:sdtContent>
          <w:r w:rsidR="00D227FC">
            <w:rPr>
              <w:sz w:val="26"/>
              <w:szCs w:val="26"/>
            </w:rPr>
            <w:fldChar w:fldCharType="begin"/>
          </w:r>
          <w:r w:rsidR="00D227FC">
            <w:rPr>
              <w:sz w:val="26"/>
              <w:szCs w:val="26"/>
            </w:rPr>
            <w:instrText xml:space="preserve"> CITATION Cla11 \l 1033 </w:instrText>
          </w:r>
          <w:r w:rsidR="00D227FC">
            <w:rPr>
              <w:sz w:val="26"/>
              <w:szCs w:val="26"/>
            </w:rPr>
            <w:fldChar w:fldCharType="separate"/>
          </w:r>
          <w:r w:rsidR="00D227FC" w:rsidRPr="00D227FC">
            <w:rPr>
              <w:noProof/>
              <w:sz w:val="26"/>
              <w:szCs w:val="26"/>
            </w:rPr>
            <w:t>(Claessens, Kose, &amp; Terrones., 2011)</w:t>
          </w:r>
          <w:r w:rsidR="00D227FC">
            <w:rPr>
              <w:sz w:val="26"/>
              <w:szCs w:val="26"/>
            </w:rPr>
            <w:fldChar w:fldCharType="end"/>
          </w:r>
        </w:sdtContent>
      </w:sdt>
      <w:r w:rsidRPr="00176557">
        <w:rPr>
          <w:sz w:val="26"/>
          <w:szCs w:val="26"/>
        </w:rPr>
        <w:t xml:space="preserve"> highlight the synchronization of business cycles driven by global liquidity conditions. These liquidity conditions affect credit availability and investment, amplifying the highs and lows of economic activity. Similarly, Mendoza (2010) discusses the adverse effects of sudden reversals in capital flows, particularly in emerging markets.</w:t>
      </w:r>
    </w:p>
    <w:p w14:paraId="34A43A07" w14:textId="77777777" w:rsidR="00EA527A" w:rsidRPr="00176557" w:rsidRDefault="00EA527A" w:rsidP="00EA527A">
      <w:pPr>
        <w:rPr>
          <w:sz w:val="24"/>
          <w:szCs w:val="24"/>
        </w:rPr>
      </w:pPr>
    </w:p>
    <w:p w14:paraId="1B52DD1C" w14:textId="7E1B9390" w:rsidR="00EA527A" w:rsidRPr="00176557" w:rsidRDefault="00EA527A" w:rsidP="00EA527A">
      <w:pPr>
        <w:rPr>
          <w:sz w:val="26"/>
          <w:szCs w:val="26"/>
        </w:rPr>
      </w:pPr>
      <w:r w:rsidRPr="00176557">
        <w:rPr>
          <w:sz w:val="26"/>
          <w:szCs w:val="26"/>
        </w:rPr>
        <w:t xml:space="preserve">The link between the GFC and GDP growth is further supported by frameworks such as the financial accelerator model </w:t>
      </w:r>
      <w:sdt>
        <w:sdtPr>
          <w:rPr>
            <w:sz w:val="26"/>
            <w:szCs w:val="26"/>
          </w:rPr>
          <w:id w:val="477190551"/>
          <w:citation/>
        </w:sdtPr>
        <w:sdtContent>
          <w:r w:rsidR="00172223">
            <w:rPr>
              <w:sz w:val="26"/>
              <w:szCs w:val="26"/>
            </w:rPr>
            <w:fldChar w:fldCharType="begin"/>
          </w:r>
          <w:r w:rsidR="00172223">
            <w:rPr>
              <w:sz w:val="26"/>
              <w:szCs w:val="26"/>
            </w:rPr>
            <w:instrText xml:space="preserve">CITATION Ber99 \l 1033 </w:instrText>
          </w:r>
          <w:r w:rsidR="00172223">
            <w:rPr>
              <w:sz w:val="26"/>
              <w:szCs w:val="26"/>
            </w:rPr>
            <w:fldChar w:fldCharType="separate"/>
          </w:r>
          <w:r w:rsidR="00172223" w:rsidRPr="00172223">
            <w:rPr>
              <w:noProof/>
              <w:sz w:val="26"/>
              <w:szCs w:val="26"/>
            </w:rPr>
            <w:t>(Bernanke, Gertler, &amp; Gilchrist, 1999)</w:t>
          </w:r>
          <w:r w:rsidR="00172223">
            <w:rPr>
              <w:sz w:val="26"/>
              <w:szCs w:val="26"/>
            </w:rPr>
            <w:fldChar w:fldCharType="end"/>
          </w:r>
        </w:sdtContent>
      </w:sdt>
      <w:r w:rsidRPr="00176557">
        <w:rPr>
          <w:sz w:val="26"/>
          <w:szCs w:val="26"/>
        </w:rPr>
        <w:t xml:space="preserve">and the credit cycle dynamics explored by </w:t>
      </w:r>
      <w:sdt>
        <w:sdtPr>
          <w:rPr>
            <w:sz w:val="26"/>
            <w:szCs w:val="26"/>
          </w:rPr>
          <w:id w:val="102613274"/>
          <w:citation/>
        </w:sdtPr>
        <w:sdtContent>
          <w:r w:rsidR="00172223">
            <w:rPr>
              <w:sz w:val="26"/>
              <w:szCs w:val="26"/>
            </w:rPr>
            <w:fldChar w:fldCharType="begin"/>
          </w:r>
          <w:r w:rsidR="00172223">
            <w:rPr>
              <w:sz w:val="26"/>
              <w:szCs w:val="26"/>
            </w:rPr>
            <w:instrText xml:space="preserve"> CITATION Dre12 \l 1033 </w:instrText>
          </w:r>
          <w:r w:rsidR="00172223">
            <w:rPr>
              <w:sz w:val="26"/>
              <w:szCs w:val="26"/>
            </w:rPr>
            <w:fldChar w:fldCharType="separate"/>
          </w:r>
          <w:r w:rsidR="00172223" w:rsidRPr="00172223">
            <w:rPr>
              <w:noProof/>
              <w:sz w:val="26"/>
              <w:szCs w:val="26"/>
            </w:rPr>
            <w:t>(Drehman &amp; al, 2012)</w:t>
          </w:r>
          <w:r w:rsidR="00172223">
            <w:rPr>
              <w:sz w:val="26"/>
              <w:szCs w:val="26"/>
            </w:rPr>
            <w:fldChar w:fldCharType="end"/>
          </w:r>
        </w:sdtContent>
      </w:sdt>
      <w:r w:rsidR="00172223">
        <w:rPr>
          <w:sz w:val="26"/>
          <w:szCs w:val="26"/>
        </w:rPr>
        <w:t xml:space="preserve"> </w:t>
      </w:r>
      <w:r w:rsidRPr="00176557">
        <w:rPr>
          <w:sz w:val="26"/>
          <w:szCs w:val="26"/>
        </w:rPr>
        <w:t xml:space="preserve">These studies underscore how disruptions in credit availability and asset prices influence aggregate demand, </w:t>
      </w:r>
      <w:r w:rsidRPr="00176557">
        <w:rPr>
          <w:sz w:val="26"/>
          <w:szCs w:val="26"/>
        </w:rPr>
        <w:lastRenderedPageBreak/>
        <w:t>thereby shaping economic outcomes. For countries like Bangladesh, these disruptions often manifest through reduced export earnings, currency volatility, and inflationary pressures.</w:t>
      </w:r>
    </w:p>
    <w:p w14:paraId="54F94859" w14:textId="77777777" w:rsidR="00EA527A" w:rsidRPr="00176557" w:rsidRDefault="00EA527A" w:rsidP="00EA527A">
      <w:pPr>
        <w:rPr>
          <w:sz w:val="26"/>
          <w:szCs w:val="26"/>
        </w:rPr>
      </w:pPr>
    </w:p>
    <w:p w14:paraId="7A595B9D" w14:textId="5F03C522" w:rsidR="00EA527A" w:rsidRPr="00176557" w:rsidRDefault="00EA527A" w:rsidP="00EA527A">
      <w:pPr>
        <w:rPr>
          <w:sz w:val="24"/>
          <w:szCs w:val="24"/>
        </w:rPr>
      </w:pPr>
      <w:r w:rsidRPr="00176557">
        <w:rPr>
          <w:sz w:val="26"/>
          <w:szCs w:val="26"/>
        </w:rPr>
        <w:t xml:space="preserve">Bangladesh’s vulnerability to the GFC is evident in its reliance on foreign capital and trade. </w:t>
      </w:r>
      <w:sdt>
        <w:sdtPr>
          <w:rPr>
            <w:sz w:val="26"/>
            <w:szCs w:val="26"/>
          </w:rPr>
          <w:id w:val="-932589853"/>
          <w:citation/>
        </w:sdtPr>
        <w:sdtContent>
          <w:r w:rsidR="00172223">
            <w:rPr>
              <w:sz w:val="26"/>
              <w:szCs w:val="26"/>
            </w:rPr>
            <w:fldChar w:fldCharType="begin"/>
          </w:r>
          <w:r w:rsidR="00172223">
            <w:rPr>
              <w:sz w:val="26"/>
              <w:szCs w:val="26"/>
            </w:rPr>
            <w:instrText xml:space="preserve"> CITATION Dre12 \l 1033 </w:instrText>
          </w:r>
          <w:r w:rsidR="00172223">
            <w:rPr>
              <w:sz w:val="26"/>
              <w:szCs w:val="26"/>
            </w:rPr>
            <w:fldChar w:fldCharType="separate"/>
          </w:r>
          <w:r w:rsidR="00172223" w:rsidRPr="00172223">
            <w:rPr>
              <w:noProof/>
              <w:sz w:val="26"/>
              <w:szCs w:val="26"/>
            </w:rPr>
            <w:t>(Drehman &amp; al, 2012)</w:t>
          </w:r>
          <w:r w:rsidR="00172223">
            <w:rPr>
              <w:sz w:val="26"/>
              <w:szCs w:val="26"/>
            </w:rPr>
            <w:fldChar w:fldCharType="end"/>
          </w:r>
        </w:sdtContent>
      </w:sdt>
      <w:r w:rsidR="00172223">
        <w:rPr>
          <w:sz w:val="26"/>
          <w:szCs w:val="26"/>
        </w:rPr>
        <w:t xml:space="preserve"> </w:t>
      </w:r>
      <w:sdt>
        <w:sdtPr>
          <w:rPr>
            <w:sz w:val="26"/>
            <w:szCs w:val="26"/>
          </w:rPr>
          <w:id w:val="1635443367"/>
          <w:citation/>
        </w:sdtPr>
        <w:sdtContent>
          <w:r w:rsidR="00172223">
            <w:rPr>
              <w:sz w:val="26"/>
              <w:szCs w:val="26"/>
            </w:rPr>
            <w:fldChar w:fldCharType="begin"/>
          </w:r>
          <w:r w:rsidR="00172223">
            <w:rPr>
              <w:sz w:val="26"/>
              <w:szCs w:val="26"/>
            </w:rPr>
            <w:instrText xml:space="preserve"> CITATION Has20 \l 1033 </w:instrText>
          </w:r>
          <w:r w:rsidR="00172223">
            <w:rPr>
              <w:sz w:val="26"/>
              <w:szCs w:val="26"/>
            </w:rPr>
            <w:fldChar w:fldCharType="separate"/>
          </w:r>
          <w:r w:rsidR="00172223" w:rsidRPr="00172223">
            <w:rPr>
              <w:noProof/>
              <w:sz w:val="26"/>
              <w:szCs w:val="26"/>
            </w:rPr>
            <w:t>(Hasan &amp; Islam, 2020)</w:t>
          </w:r>
          <w:r w:rsidR="00172223">
            <w:rPr>
              <w:sz w:val="26"/>
              <w:szCs w:val="26"/>
            </w:rPr>
            <w:fldChar w:fldCharType="end"/>
          </w:r>
        </w:sdtContent>
      </w:sdt>
      <w:r w:rsidRPr="00176557">
        <w:rPr>
          <w:sz w:val="26"/>
          <w:szCs w:val="26"/>
        </w:rPr>
        <w:t>argue that financial globalization has synchronized economic activities globally, increasing susceptibility to external shocks. Empirical studies, such as Hasan and Islam (2020), highlight how exchange rate volatility negatively affects Bangladesh’s GDP growth, emphasizing the need for resilient macroeconomic policies</w:t>
      </w:r>
      <w:r w:rsidRPr="00176557">
        <w:rPr>
          <w:sz w:val="24"/>
          <w:szCs w:val="24"/>
        </w:rPr>
        <w:t>.</w:t>
      </w:r>
    </w:p>
    <w:p w14:paraId="511C9BB5" w14:textId="77777777" w:rsidR="00EA527A" w:rsidRDefault="00EA527A" w:rsidP="00EA527A"/>
    <w:p w14:paraId="518E4A64" w14:textId="6A6723B2" w:rsidR="00EA527A" w:rsidRDefault="00EA527A" w:rsidP="004B4E80">
      <w:pPr>
        <w:pStyle w:val="Heading1"/>
      </w:pPr>
      <w:bookmarkStart w:id="6" w:name="_Toc188804268"/>
      <w:r>
        <w:t>Addressing Gaps in the Literature</w:t>
      </w:r>
      <w:bookmarkEnd w:id="6"/>
    </w:p>
    <w:p w14:paraId="5AC8BDC9" w14:textId="77777777" w:rsidR="00EA527A" w:rsidRDefault="00EA527A" w:rsidP="00EA527A"/>
    <w:p w14:paraId="6225B197" w14:textId="77777777" w:rsidR="00EA527A" w:rsidRPr="00176557" w:rsidRDefault="00EA527A" w:rsidP="00EA527A">
      <w:pPr>
        <w:rPr>
          <w:sz w:val="26"/>
          <w:szCs w:val="26"/>
        </w:rPr>
      </w:pPr>
      <w:r w:rsidRPr="00176557">
        <w:rPr>
          <w:sz w:val="26"/>
          <w:szCs w:val="26"/>
        </w:rPr>
        <w:t>While substantial research exists on the impacts of the GFC on emerging markets, studies specifically addressing Bangladesh remain scarce. This proposal seeks to fill this gap by providing empirical evidence on the interplay between global financial conditions and Bangladesh’s economic performance. It also aims to integrate insights from regional and global perspectives to enrich the discourse.</w:t>
      </w:r>
    </w:p>
    <w:p w14:paraId="7F3C5D47" w14:textId="77777777" w:rsidR="004B4E80" w:rsidRDefault="004B4E80" w:rsidP="004B4E80">
      <w:pPr>
        <w:pStyle w:val="Heading1"/>
      </w:pPr>
    </w:p>
    <w:p w14:paraId="1E9DA2CC" w14:textId="6C53955F" w:rsidR="00EA527A" w:rsidRDefault="00EA527A" w:rsidP="004B4E80">
      <w:pPr>
        <w:pStyle w:val="Heading1"/>
      </w:pPr>
      <w:bookmarkStart w:id="7" w:name="_Toc188804269"/>
      <w:r>
        <w:t>Methodology</w:t>
      </w:r>
      <w:bookmarkEnd w:id="7"/>
    </w:p>
    <w:p w14:paraId="207B4008" w14:textId="77777777" w:rsidR="00EA527A" w:rsidRDefault="00EA527A" w:rsidP="00EA527A"/>
    <w:p w14:paraId="3354372B" w14:textId="69014669" w:rsidR="00EA527A" w:rsidRDefault="00EA527A" w:rsidP="004B4E80">
      <w:pPr>
        <w:pStyle w:val="Subtitle"/>
      </w:pPr>
      <w:r>
        <w:t>1 Data Collection</w:t>
      </w:r>
    </w:p>
    <w:p w14:paraId="325AB8EF" w14:textId="77ED7D7B" w:rsidR="00EA527A" w:rsidRPr="00176557" w:rsidRDefault="00EA527A" w:rsidP="00EA527A">
      <w:pPr>
        <w:rPr>
          <w:sz w:val="26"/>
          <w:szCs w:val="26"/>
        </w:rPr>
      </w:pPr>
      <w:r w:rsidRPr="00176557">
        <w:rPr>
          <w:sz w:val="26"/>
          <w:szCs w:val="26"/>
        </w:rPr>
        <w:t>Global Financial Indicators: US Federal Funds Rate, Global Credit-to-GDP Ratio, VIX (Volatility Index), and global trade volumes.</w:t>
      </w:r>
      <w:r w:rsidR="004B4E80" w:rsidRPr="00176557">
        <w:rPr>
          <w:sz w:val="26"/>
          <w:szCs w:val="26"/>
        </w:rPr>
        <w:t xml:space="preserve"> </w:t>
      </w:r>
      <w:r w:rsidRPr="00176557">
        <w:rPr>
          <w:sz w:val="26"/>
          <w:szCs w:val="26"/>
        </w:rPr>
        <w:t>Bangladesh Macroeconomic Data: GDP growth rate, exchange rates, capital flows (FDI and portfolio investment), trade balance, and inflation.</w:t>
      </w:r>
    </w:p>
    <w:p w14:paraId="5D75855C" w14:textId="3D40DC3B" w:rsidR="00EA527A" w:rsidRPr="00176557" w:rsidRDefault="00EA527A" w:rsidP="00EA527A">
      <w:pPr>
        <w:rPr>
          <w:sz w:val="24"/>
          <w:szCs w:val="24"/>
        </w:rPr>
      </w:pPr>
      <w:r w:rsidRPr="00176557">
        <w:rPr>
          <w:sz w:val="26"/>
          <w:szCs w:val="26"/>
        </w:rPr>
        <w:t>Data Sources: International Monetary Fund (IMF), World Bank, Bangladesh Bank, and BIS</w:t>
      </w:r>
      <w:r w:rsidRPr="00176557">
        <w:rPr>
          <w:sz w:val="24"/>
          <w:szCs w:val="24"/>
        </w:rPr>
        <w:t>.</w:t>
      </w:r>
    </w:p>
    <w:p w14:paraId="008A00C7" w14:textId="77777777" w:rsidR="00EA527A" w:rsidRDefault="00EA527A" w:rsidP="00EA527A"/>
    <w:p w14:paraId="494C8A6A" w14:textId="4A85C1DB" w:rsidR="00EA527A" w:rsidRDefault="00EA527A" w:rsidP="004B4E80">
      <w:pPr>
        <w:pStyle w:val="Subtitle"/>
      </w:pPr>
      <w:r>
        <w:lastRenderedPageBreak/>
        <w:t>2 Analytical Framework</w:t>
      </w:r>
    </w:p>
    <w:p w14:paraId="1866E039" w14:textId="77777777" w:rsidR="00EA527A" w:rsidRDefault="00EA527A" w:rsidP="00EA527A"/>
    <w:p w14:paraId="3DB4B63C" w14:textId="3ADFB7F4" w:rsidR="00EA527A" w:rsidRPr="00176557" w:rsidRDefault="00EA527A" w:rsidP="00EA527A">
      <w:pPr>
        <w:rPr>
          <w:sz w:val="26"/>
          <w:szCs w:val="26"/>
        </w:rPr>
      </w:pPr>
      <w:r w:rsidRPr="00176557">
        <w:rPr>
          <w:sz w:val="26"/>
          <w:szCs w:val="26"/>
        </w:rPr>
        <w:t>The study will employ a Structural Vector Autoregression (SVAR) model to capture the dynamic relationships between global financial cycle variables and GDP growth.</w:t>
      </w:r>
    </w:p>
    <w:p w14:paraId="58BFF93B" w14:textId="77777777" w:rsidR="00EA527A" w:rsidRPr="00176557" w:rsidRDefault="00EA527A" w:rsidP="00EA527A">
      <w:pPr>
        <w:rPr>
          <w:rStyle w:val="SubtleEmphasis"/>
          <w:sz w:val="26"/>
          <w:szCs w:val="26"/>
        </w:rPr>
      </w:pPr>
    </w:p>
    <w:p w14:paraId="57C939AE" w14:textId="1BC10D64" w:rsidR="00EA527A" w:rsidRPr="00176557" w:rsidRDefault="00EA527A" w:rsidP="00EA527A">
      <w:pPr>
        <w:rPr>
          <w:rStyle w:val="SubtleEmphasis"/>
          <w:sz w:val="26"/>
          <w:szCs w:val="26"/>
        </w:rPr>
      </w:pPr>
      <w:r w:rsidRPr="00176557">
        <w:rPr>
          <w:rStyle w:val="SubtleEmphasis"/>
          <w:sz w:val="26"/>
          <w:szCs w:val="26"/>
        </w:rPr>
        <w:t>Estimation Techniques:</w:t>
      </w:r>
    </w:p>
    <w:p w14:paraId="5DB69B9B" w14:textId="12D0520D" w:rsidR="00EA527A" w:rsidRPr="00176557" w:rsidRDefault="00EA527A" w:rsidP="00EA527A">
      <w:pPr>
        <w:rPr>
          <w:sz w:val="26"/>
          <w:szCs w:val="26"/>
        </w:rPr>
      </w:pPr>
      <w:r w:rsidRPr="00176557">
        <w:rPr>
          <w:sz w:val="26"/>
          <w:szCs w:val="26"/>
        </w:rPr>
        <w:t xml:space="preserve">  Impulse Response Functions (IRFs): Analyze the impact of GFC shocks on Bangladesh’s economy over time.</w:t>
      </w:r>
    </w:p>
    <w:p w14:paraId="417C6984" w14:textId="28162EB4" w:rsidR="00EA527A" w:rsidRPr="00176557" w:rsidRDefault="00EA527A" w:rsidP="00EA527A">
      <w:pPr>
        <w:rPr>
          <w:sz w:val="26"/>
          <w:szCs w:val="26"/>
        </w:rPr>
      </w:pPr>
      <w:r w:rsidRPr="00176557">
        <w:rPr>
          <w:rStyle w:val="IntenseEmphasis"/>
          <w:sz w:val="26"/>
          <w:szCs w:val="26"/>
        </w:rPr>
        <w:t xml:space="preserve"> Variance Decomposition:</w:t>
      </w:r>
      <w:r w:rsidR="00366352" w:rsidRPr="00176557">
        <w:rPr>
          <w:rStyle w:val="IntenseEmphasis"/>
          <w:sz w:val="26"/>
          <w:szCs w:val="26"/>
        </w:rPr>
        <w:t xml:space="preserve"> </w:t>
      </w:r>
      <w:r w:rsidRPr="00176557">
        <w:rPr>
          <w:sz w:val="26"/>
          <w:szCs w:val="26"/>
        </w:rPr>
        <w:t>Quantify the contribution of GFC variables to fluctuations in GDP growth.</w:t>
      </w:r>
    </w:p>
    <w:p w14:paraId="5CE8CF7B" w14:textId="77777777" w:rsidR="00EA527A" w:rsidRPr="00366352" w:rsidRDefault="00EA527A" w:rsidP="00366352">
      <w:pPr>
        <w:pStyle w:val="Subtitle"/>
        <w:rPr>
          <w:rStyle w:val="SubtleEmphasis"/>
        </w:rPr>
      </w:pPr>
    </w:p>
    <w:p w14:paraId="6A6C9C6A" w14:textId="760A6FD3" w:rsidR="00EA527A" w:rsidRPr="00176557" w:rsidRDefault="00EA527A" w:rsidP="00366352">
      <w:pPr>
        <w:pStyle w:val="Subtitle"/>
        <w:rPr>
          <w:rStyle w:val="SubtleEmphasis"/>
          <w:i w:val="0"/>
          <w:iCs w:val="0"/>
          <w:sz w:val="26"/>
          <w:szCs w:val="26"/>
        </w:rPr>
      </w:pPr>
      <w:r w:rsidRPr="00176557">
        <w:rPr>
          <w:rStyle w:val="SubtleEmphasis"/>
          <w:i w:val="0"/>
          <w:iCs w:val="0"/>
          <w:sz w:val="26"/>
          <w:szCs w:val="26"/>
        </w:rPr>
        <w:t>3 Hypothesis</w:t>
      </w:r>
    </w:p>
    <w:p w14:paraId="21084D39" w14:textId="77777777" w:rsidR="00366352" w:rsidRPr="00176557" w:rsidRDefault="00366352" w:rsidP="00EA527A">
      <w:pPr>
        <w:rPr>
          <w:sz w:val="26"/>
          <w:szCs w:val="26"/>
        </w:rPr>
      </w:pPr>
    </w:p>
    <w:p w14:paraId="5DED0D16" w14:textId="70960046" w:rsidR="00EA527A" w:rsidRPr="00176557" w:rsidRDefault="00EA527A" w:rsidP="00EA527A">
      <w:pPr>
        <w:rPr>
          <w:sz w:val="26"/>
          <w:szCs w:val="26"/>
        </w:rPr>
      </w:pPr>
      <w:r w:rsidRPr="00176557">
        <w:rPr>
          <w:b/>
          <w:bCs/>
          <w:sz w:val="26"/>
          <w:szCs w:val="26"/>
        </w:rPr>
        <w:t>Null Hypothesis:</w:t>
      </w:r>
      <w:r w:rsidR="00366352" w:rsidRPr="00176557">
        <w:rPr>
          <w:sz w:val="26"/>
          <w:szCs w:val="26"/>
        </w:rPr>
        <w:t xml:space="preserve"> </w:t>
      </w:r>
      <w:r w:rsidRPr="00176557">
        <w:rPr>
          <w:sz w:val="26"/>
          <w:szCs w:val="26"/>
        </w:rPr>
        <w:t>The global financial cycle has no significant impact on Bangladesh’s GDP growth.</w:t>
      </w:r>
    </w:p>
    <w:p w14:paraId="6A1BDE3B" w14:textId="6EB781C8" w:rsidR="00EA527A" w:rsidRPr="00176557" w:rsidRDefault="00EA527A" w:rsidP="00EA527A">
      <w:pPr>
        <w:rPr>
          <w:sz w:val="26"/>
          <w:szCs w:val="26"/>
        </w:rPr>
      </w:pPr>
      <w:r w:rsidRPr="00176557">
        <w:rPr>
          <w:b/>
          <w:bCs/>
          <w:sz w:val="26"/>
          <w:szCs w:val="26"/>
        </w:rPr>
        <w:t>Alternative Hypothesis</w:t>
      </w:r>
      <w:r w:rsidR="00366352" w:rsidRPr="00176557">
        <w:rPr>
          <w:sz w:val="26"/>
          <w:szCs w:val="26"/>
        </w:rPr>
        <w:t xml:space="preserve">: </w:t>
      </w:r>
      <w:r w:rsidRPr="00176557">
        <w:rPr>
          <w:sz w:val="26"/>
          <w:szCs w:val="26"/>
        </w:rPr>
        <w:t>The global financial cycle significantly influences Bangladesh’s GDP growth through multiple transmission channels.</w:t>
      </w:r>
    </w:p>
    <w:p w14:paraId="4A296416" w14:textId="77777777" w:rsidR="00EA527A" w:rsidRDefault="00EA527A" w:rsidP="00EA527A"/>
    <w:p w14:paraId="30F173FD" w14:textId="06E7C808" w:rsidR="00EA527A" w:rsidRPr="00366352" w:rsidRDefault="00366352" w:rsidP="00366352">
      <w:pPr>
        <w:pStyle w:val="Subtitle"/>
        <w:rPr>
          <w:rStyle w:val="Emphasis"/>
          <w:i w:val="0"/>
          <w:iCs w:val="0"/>
        </w:rPr>
      </w:pPr>
      <w:r w:rsidRPr="00366352">
        <w:rPr>
          <w:rStyle w:val="Emphasis"/>
          <w:i w:val="0"/>
          <w:iCs w:val="0"/>
        </w:rPr>
        <w:t xml:space="preserve">4. </w:t>
      </w:r>
      <w:r w:rsidR="00EA527A" w:rsidRPr="00366352">
        <w:rPr>
          <w:rStyle w:val="Emphasis"/>
          <w:i w:val="0"/>
          <w:iCs w:val="0"/>
        </w:rPr>
        <w:t>Supplementary Methods</w:t>
      </w:r>
    </w:p>
    <w:p w14:paraId="39FB7C24" w14:textId="77777777" w:rsidR="00EA527A" w:rsidRDefault="00EA527A" w:rsidP="00EA527A"/>
    <w:p w14:paraId="7FD632A3" w14:textId="77777777" w:rsidR="00EA527A" w:rsidRPr="00176557" w:rsidRDefault="00EA527A" w:rsidP="00EA527A">
      <w:pPr>
        <w:rPr>
          <w:rStyle w:val="IntenseEmphasis"/>
          <w:sz w:val="26"/>
          <w:szCs w:val="26"/>
        </w:rPr>
      </w:pPr>
      <w:r w:rsidRPr="00176557">
        <w:rPr>
          <w:rStyle w:val="IntenseEmphasis"/>
          <w:sz w:val="26"/>
          <w:szCs w:val="26"/>
        </w:rPr>
        <w:t>To ensure robustness, the study will also utilize:</w:t>
      </w:r>
    </w:p>
    <w:p w14:paraId="576194F2" w14:textId="0E39A240" w:rsidR="00EA527A" w:rsidRPr="00176557" w:rsidRDefault="00EA527A" w:rsidP="00EA527A">
      <w:pPr>
        <w:rPr>
          <w:sz w:val="26"/>
          <w:szCs w:val="26"/>
        </w:rPr>
      </w:pPr>
      <w:r w:rsidRPr="00176557">
        <w:rPr>
          <w:b/>
          <w:bCs/>
          <w:sz w:val="26"/>
          <w:szCs w:val="26"/>
        </w:rPr>
        <w:t>Panel Data Analysis</w:t>
      </w:r>
      <w:r w:rsidR="00366352" w:rsidRPr="00176557">
        <w:rPr>
          <w:b/>
          <w:bCs/>
          <w:sz w:val="26"/>
          <w:szCs w:val="26"/>
        </w:rPr>
        <w:t>:</w:t>
      </w:r>
      <w:r w:rsidR="00366352" w:rsidRPr="00176557">
        <w:rPr>
          <w:sz w:val="26"/>
          <w:szCs w:val="26"/>
        </w:rPr>
        <w:t xml:space="preserve"> </w:t>
      </w:r>
      <w:r w:rsidRPr="00176557">
        <w:rPr>
          <w:sz w:val="26"/>
          <w:szCs w:val="26"/>
        </w:rPr>
        <w:t>Incorporating data from other South Asian economies for comparative insights.</w:t>
      </w:r>
    </w:p>
    <w:p w14:paraId="559BD9F6" w14:textId="5F018C80" w:rsidR="00EA527A" w:rsidRPr="00176557" w:rsidRDefault="00EA527A" w:rsidP="00EA527A">
      <w:pPr>
        <w:rPr>
          <w:sz w:val="26"/>
          <w:szCs w:val="26"/>
        </w:rPr>
      </w:pPr>
      <w:r w:rsidRPr="00176557">
        <w:rPr>
          <w:b/>
          <w:bCs/>
          <w:sz w:val="26"/>
          <w:szCs w:val="26"/>
        </w:rPr>
        <w:t>Scenario Analysis:</w:t>
      </w:r>
      <w:r w:rsidRPr="00176557">
        <w:rPr>
          <w:sz w:val="26"/>
          <w:szCs w:val="26"/>
        </w:rPr>
        <w:t xml:space="preserve"> Simulating policy responses to hypothetical GFC shocks.</w:t>
      </w:r>
    </w:p>
    <w:p w14:paraId="5705883C" w14:textId="77777777" w:rsidR="00EA527A" w:rsidRPr="00176557" w:rsidRDefault="00EA527A" w:rsidP="00EA527A">
      <w:pPr>
        <w:rPr>
          <w:sz w:val="26"/>
          <w:szCs w:val="26"/>
        </w:rPr>
      </w:pPr>
    </w:p>
    <w:p w14:paraId="11A9D749" w14:textId="77777777" w:rsidR="00EA527A" w:rsidRDefault="00EA527A" w:rsidP="00EA527A"/>
    <w:p w14:paraId="3BB4C5E4" w14:textId="28B69990" w:rsidR="00EA527A" w:rsidRDefault="00EA527A" w:rsidP="00366352">
      <w:pPr>
        <w:pStyle w:val="Subtitle"/>
      </w:pPr>
      <w:r>
        <w:t>6. Expected Contributions</w:t>
      </w:r>
    </w:p>
    <w:p w14:paraId="2118826A" w14:textId="77777777" w:rsidR="00EA527A" w:rsidRDefault="00EA527A" w:rsidP="00EA527A"/>
    <w:p w14:paraId="444FD408" w14:textId="7775C72A" w:rsidR="00EA527A" w:rsidRPr="00176557" w:rsidRDefault="00EA527A" w:rsidP="00EA527A">
      <w:pPr>
        <w:rPr>
          <w:sz w:val="26"/>
          <w:szCs w:val="26"/>
        </w:rPr>
      </w:pPr>
      <w:r w:rsidRPr="00176557">
        <w:rPr>
          <w:b/>
          <w:bCs/>
          <w:sz w:val="26"/>
          <w:szCs w:val="26"/>
        </w:rPr>
        <w:lastRenderedPageBreak/>
        <w:t>1.</w:t>
      </w:r>
      <w:r w:rsidR="00366352" w:rsidRPr="00176557">
        <w:rPr>
          <w:b/>
          <w:bCs/>
          <w:sz w:val="26"/>
          <w:szCs w:val="26"/>
        </w:rPr>
        <w:t xml:space="preserve"> </w:t>
      </w:r>
      <w:r w:rsidRPr="00176557">
        <w:rPr>
          <w:b/>
          <w:bCs/>
          <w:sz w:val="26"/>
          <w:szCs w:val="26"/>
        </w:rPr>
        <w:t xml:space="preserve">Theoretical </w:t>
      </w:r>
      <w:r w:rsidR="00366352" w:rsidRPr="00176557">
        <w:rPr>
          <w:b/>
          <w:bCs/>
          <w:sz w:val="26"/>
          <w:szCs w:val="26"/>
        </w:rPr>
        <w:t>Contribution:</w:t>
      </w:r>
      <w:r w:rsidRPr="00176557">
        <w:rPr>
          <w:sz w:val="26"/>
          <w:szCs w:val="26"/>
        </w:rPr>
        <w:t xml:space="preserve"> Extend the literature on global financial cycles by focusing on their impact on a developing economy with unique structural characteristics.</w:t>
      </w:r>
    </w:p>
    <w:p w14:paraId="4586013C" w14:textId="17FEA971" w:rsidR="00EA527A" w:rsidRPr="00176557" w:rsidRDefault="00EA527A" w:rsidP="00EA527A">
      <w:pPr>
        <w:rPr>
          <w:sz w:val="26"/>
          <w:szCs w:val="26"/>
        </w:rPr>
      </w:pPr>
      <w:r w:rsidRPr="00176557">
        <w:rPr>
          <w:b/>
          <w:bCs/>
          <w:sz w:val="26"/>
          <w:szCs w:val="26"/>
        </w:rPr>
        <w:t xml:space="preserve">2. Policy </w:t>
      </w:r>
      <w:r w:rsidR="00366352" w:rsidRPr="00176557">
        <w:rPr>
          <w:b/>
          <w:bCs/>
          <w:sz w:val="26"/>
          <w:szCs w:val="26"/>
        </w:rPr>
        <w:t>Insights:</w:t>
      </w:r>
      <w:r w:rsidRPr="00176557">
        <w:rPr>
          <w:sz w:val="26"/>
          <w:szCs w:val="26"/>
        </w:rPr>
        <w:t xml:space="preserve"> Provide evidence-based recommendations for macroprudential policies and financial regulations to mitigate adverse effects.</w:t>
      </w:r>
    </w:p>
    <w:p w14:paraId="40EA3BD4" w14:textId="6CB5D5EC" w:rsidR="00EA527A" w:rsidRPr="00176557" w:rsidRDefault="00EA527A" w:rsidP="00EA527A">
      <w:pPr>
        <w:rPr>
          <w:sz w:val="26"/>
          <w:szCs w:val="26"/>
        </w:rPr>
      </w:pPr>
      <w:r w:rsidRPr="00176557">
        <w:rPr>
          <w:b/>
          <w:bCs/>
          <w:sz w:val="26"/>
          <w:szCs w:val="26"/>
        </w:rPr>
        <w:t xml:space="preserve">3. Practical </w:t>
      </w:r>
      <w:r w:rsidR="00366352" w:rsidRPr="00176557">
        <w:rPr>
          <w:b/>
          <w:bCs/>
          <w:sz w:val="26"/>
          <w:szCs w:val="26"/>
        </w:rPr>
        <w:t>Relevance:</w:t>
      </w:r>
      <w:r w:rsidRPr="00176557">
        <w:rPr>
          <w:sz w:val="26"/>
          <w:szCs w:val="26"/>
        </w:rPr>
        <w:t xml:space="preserve"> Enhance the understanding of policymakers, researchers, and financial practitioners regarding the vulnerabilities and opportunities posed by the GFC.</w:t>
      </w:r>
    </w:p>
    <w:p w14:paraId="75061678" w14:textId="77777777" w:rsidR="00EA527A" w:rsidRPr="00176557" w:rsidRDefault="00EA527A" w:rsidP="00EA527A">
      <w:pPr>
        <w:rPr>
          <w:sz w:val="26"/>
          <w:szCs w:val="26"/>
        </w:rPr>
      </w:pPr>
    </w:p>
    <w:p w14:paraId="0598ED5D" w14:textId="72884DC7" w:rsidR="00EA527A" w:rsidRPr="00176557" w:rsidRDefault="00EA527A" w:rsidP="00EA527A">
      <w:pPr>
        <w:rPr>
          <w:rStyle w:val="SubtleEmphasis"/>
          <w:sz w:val="26"/>
          <w:szCs w:val="26"/>
        </w:rPr>
      </w:pPr>
      <w:r w:rsidRPr="00176557">
        <w:rPr>
          <w:rStyle w:val="SubtleEmphasis"/>
          <w:sz w:val="26"/>
          <w:szCs w:val="26"/>
        </w:rPr>
        <w:t>Broader Impact</w:t>
      </w:r>
      <w:r w:rsidR="00176557">
        <w:rPr>
          <w:rStyle w:val="SubtleEmphasis"/>
          <w:sz w:val="26"/>
          <w:szCs w:val="26"/>
        </w:rPr>
        <w:t>:</w:t>
      </w:r>
    </w:p>
    <w:p w14:paraId="56D6AE53" w14:textId="77777777" w:rsidR="00EA527A" w:rsidRPr="00176557" w:rsidRDefault="00EA527A" w:rsidP="00EA527A">
      <w:pPr>
        <w:rPr>
          <w:sz w:val="26"/>
          <w:szCs w:val="26"/>
        </w:rPr>
      </w:pPr>
    </w:p>
    <w:p w14:paraId="04EA8012" w14:textId="77777777" w:rsidR="00EA527A" w:rsidRPr="00176557" w:rsidRDefault="00EA527A" w:rsidP="00EA527A">
      <w:pPr>
        <w:rPr>
          <w:sz w:val="26"/>
          <w:szCs w:val="26"/>
        </w:rPr>
      </w:pPr>
      <w:r w:rsidRPr="00176557">
        <w:rPr>
          <w:sz w:val="26"/>
          <w:szCs w:val="26"/>
        </w:rPr>
        <w:t>By addressing a critical gap in the literature, this study aims to inform global discussions on financial stability and resilience, particularly for emerging markets.</w:t>
      </w:r>
    </w:p>
    <w:p w14:paraId="52A6D66F" w14:textId="571420F5" w:rsidR="00EA527A" w:rsidRDefault="00EA527A" w:rsidP="00366352">
      <w:pPr>
        <w:pStyle w:val="Subtitle"/>
      </w:pPr>
      <w:r>
        <w:t>7. Policy Implications</w:t>
      </w:r>
    </w:p>
    <w:p w14:paraId="657D3E0F" w14:textId="77777777" w:rsidR="00EA527A" w:rsidRDefault="00EA527A" w:rsidP="00EA527A"/>
    <w:p w14:paraId="10C2A835" w14:textId="77777777" w:rsidR="00EA527A" w:rsidRPr="00176557" w:rsidRDefault="00EA527A" w:rsidP="00EA527A">
      <w:pPr>
        <w:rPr>
          <w:sz w:val="26"/>
          <w:szCs w:val="26"/>
        </w:rPr>
      </w:pPr>
      <w:r w:rsidRPr="00176557">
        <w:rPr>
          <w:sz w:val="26"/>
          <w:szCs w:val="26"/>
        </w:rPr>
        <w:t>- Strengthening financial regulation to mitigate the impact of volatile capital flows.</w:t>
      </w:r>
    </w:p>
    <w:p w14:paraId="16BBBC2B" w14:textId="77777777" w:rsidR="00EA527A" w:rsidRPr="00176557" w:rsidRDefault="00EA527A" w:rsidP="00EA527A">
      <w:pPr>
        <w:rPr>
          <w:sz w:val="26"/>
          <w:szCs w:val="26"/>
        </w:rPr>
      </w:pPr>
      <w:r w:rsidRPr="00176557">
        <w:rPr>
          <w:sz w:val="26"/>
          <w:szCs w:val="26"/>
        </w:rPr>
        <w:t>- Enhancing foreign exchange reserve management to stabilize the currency during GFC downturns.</w:t>
      </w:r>
    </w:p>
    <w:p w14:paraId="3B2E78F7" w14:textId="77777777" w:rsidR="00EA527A" w:rsidRPr="00176557" w:rsidRDefault="00EA527A" w:rsidP="00EA527A">
      <w:pPr>
        <w:rPr>
          <w:sz w:val="26"/>
          <w:szCs w:val="26"/>
        </w:rPr>
      </w:pPr>
      <w:r w:rsidRPr="00176557">
        <w:rPr>
          <w:sz w:val="26"/>
          <w:szCs w:val="26"/>
        </w:rPr>
        <w:t>- Promoting economic diversification to reduce dependence on vulnerable sectors.</w:t>
      </w:r>
    </w:p>
    <w:p w14:paraId="00E3702E" w14:textId="77777777" w:rsidR="00EA527A" w:rsidRPr="00176557" w:rsidRDefault="00EA527A" w:rsidP="00EA527A">
      <w:pPr>
        <w:rPr>
          <w:sz w:val="26"/>
          <w:szCs w:val="26"/>
        </w:rPr>
      </w:pPr>
      <w:r w:rsidRPr="00176557">
        <w:rPr>
          <w:sz w:val="26"/>
          <w:szCs w:val="26"/>
        </w:rPr>
        <w:t>- Developing robust early warning systems to anticipate and respond to GFC shocks.</w:t>
      </w:r>
    </w:p>
    <w:p w14:paraId="30533D06" w14:textId="77777777" w:rsidR="00EA527A" w:rsidRPr="00176557" w:rsidRDefault="00EA527A" w:rsidP="00EA527A">
      <w:pPr>
        <w:rPr>
          <w:sz w:val="26"/>
          <w:szCs w:val="26"/>
        </w:rPr>
      </w:pPr>
      <w:r w:rsidRPr="00176557">
        <w:rPr>
          <w:sz w:val="26"/>
          <w:szCs w:val="26"/>
        </w:rPr>
        <w:t>- Encouraging regional economic cooperation to buffer against global financial instability.</w:t>
      </w:r>
    </w:p>
    <w:p w14:paraId="0458DE62" w14:textId="77777777" w:rsidR="00EA527A" w:rsidRDefault="00EA527A" w:rsidP="00366352">
      <w:pPr>
        <w:pStyle w:val="Subtitle"/>
      </w:pPr>
    </w:p>
    <w:p w14:paraId="77F8B228" w14:textId="160137DD" w:rsidR="00EA527A" w:rsidRDefault="00EA527A" w:rsidP="00366352">
      <w:pPr>
        <w:pStyle w:val="Subtitle"/>
      </w:pPr>
      <w:r>
        <w:t>8. Ethical Considerations</w:t>
      </w:r>
    </w:p>
    <w:p w14:paraId="1AD79F72" w14:textId="77777777" w:rsidR="00EA527A" w:rsidRDefault="00EA527A" w:rsidP="00EA527A"/>
    <w:p w14:paraId="5D0C9614" w14:textId="77777777" w:rsidR="00EA527A" w:rsidRPr="00176557" w:rsidRDefault="00EA527A" w:rsidP="00EA527A">
      <w:pPr>
        <w:rPr>
          <w:sz w:val="26"/>
          <w:szCs w:val="26"/>
        </w:rPr>
      </w:pPr>
      <w:r w:rsidRPr="00176557">
        <w:rPr>
          <w:sz w:val="26"/>
          <w:szCs w:val="26"/>
        </w:rPr>
        <w:t>This study will utilize secondary data from credible sources, ensuring compliance with ethical guidelines. No primary data collection involving human subjects is anticipated.</w:t>
      </w:r>
    </w:p>
    <w:p w14:paraId="46E669E9" w14:textId="77777777" w:rsidR="00EA527A" w:rsidRDefault="00EA527A" w:rsidP="00EA527A"/>
    <w:p w14:paraId="77CDAA05" w14:textId="26F7E27F" w:rsidR="00EA527A" w:rsidRDefault="00EA527A" w:rsidP="00366352">
      <w:pPr>
        <w:pStyle w:val="Subtitle"/>
      </w:pPr>
      <w:r>
        <w:t>9. Timeline</w:t>
      </w:r>
    </w:p>
    <w:p w14:paraId="2800725C" w14:textId="77777777" w:rsidR="00EA527A" w:rsidRDefault="00EA527A" w:rsidP="00EA527A"/>
    <w:p w14:paraId="343006AB" w14:textId="7F89BDE3" w:rsidR="00EA527A" w:rsidRPr="00176557" w:rsidRDefault="00EA527A" w:rsidP="00EA527A">
      <w:pPr>
        <w:rPr>
          <w:sz w:val="26"/>
          <w:szCs w:val="26"/>
        </w:rPr>
      </w:pPr>
      <w:r w:rsidRPr="00176557">
        <w:rPr>
          <w:sz w:val="26"/>
          <w:szCs w:val="26"/>
        </w:rPr>
        <w:t xml:space="preserve">1. Literature review and data </w:t>
      </w:r>
      <w:r w:rsidR="00366352" w:rsidRPr="00176557">
        <w:rPr>
          <w:sz w:val="26"/>
          <w:szCs w:val="26"/>
        </w:rPr>
        <w:t xml:space="preserve">collection: </w:t>
      </w:r>
      <w:r w:rsidRPr="00176557">
        <w:rPr>
          <w:sz w:val="26"/>
          <w:szCs w:val="26"/>
        </w:rPr>
        <w:t xml:space="preserve"> Weeks 1–3</w:t>
      </w:r>
    </w:p>
    <w:p w14:paraId="317CA065" w14:textId="3D831808" w:rsidR="00EA527A" w:rsidRPr="00176557" w:rsidRDefault="00EA527A" w:rsidP="00EA527A">
      <w:pPr>
        <w:rPr>
          <w:sz w:val="26"/>
          <w:szCs w:val="26"/>
        </w:rPr>
      </w:pPr>
      <w:r w:rsidRPr="00176557">
        <w:rPr>
          <w:sz w:val="26"/>
          <w:szCs w:val="26"/>
        </w:rPr>
        <w:t xml:space="preserve">2. Data </w:t>
      </w:r>
      <w:r w:rsidR="00366352" w:rsidRPr="00176557">
        <w:rPr>
          <w:sz w:val="26"/>
          <w:szCs w:val="26"/>
        </w:rPr>
        <w:t xml:space="preserve">analysis: </w:t>
      </w:r>
      <w:r w:rsidRPr="00176557">
        <w:rPr>
          <w:sz w:val="26"/>
          <w:szCs w:val="26"/>
        </w:rPr>
        <w:t xml:space="preserve"> Weeks 4–5</w:t>
      </w:r>
    </w:p>
    <w:p w14:paraId="1522071B" w14:textId="4605A946" w:rsidR="00EA527A" w:rsidRPr="00176557" w:rsidRDefault="00EA527A" w:rsidP="00EA527A">
      <w:pPr>
        <w:rPr>
          <w:sz w:val="26"/>
          <w:szCs w:val="26"/>
        </w:rPr>
      </w:pPr>
      <w:r w:rsidRPr="00176557">
        <w:rPr>
          <w:sz w:val="26"/>
          <w:szCs w:val="26"/>
        </w:rPr>
        <w:t xml:space="preserve">3. Writing and </w:t>
      </w:r>
      <w:r w:rsidR="00366352" w:rsidRPr="00176557">
        <w:rPr>
          <w:sz w:val="26"/>
          <w:szCs w:val="26"/>
        </w:rPr>
        <w:t xml:space="preserve">dissemination: </w:t>
      </w:r>
      <w:r w:rsidRPr="00176557">
        <w:rPr>
          <w:sz w:val="26"/>
          <w:szCs w:val="26"/>
        </w:rPr>
        <w:t xml:space="preserve"> Weeks 6–8</w:t>
      </w:r>
    </w:p>
    <w:p w14:paraId="55774410" w14:textId="77777777" w:rsidR="00EA527A" w:rsidRDefault="00EA527A" w:rsidP="00EA527A"/>
    <w:p w14:paraId="5B7B0EED" w14:textId="623BAB1C" w:rsidR="00EA527A" w:rsidRPr="00176557" w:rsidRDefault="00EA527A" w:rsidP="00EA527A">
      <w:pPr>
        <w:rPr>
          <w:rStyle w:val="SubtleEmphasis"/>
          <w:sz w:val="28"/>
          <w:szCs w:val="28"/>
        </w:rPr>
      </w:pPr>
      <w:r w:rsidRPr="00176557">
        <w:rPr>
          <w:rStyle w:val="SubtleEmphasis"/>
          <w:sz w:val="28"/>
          <w:szCs w:val="28"/>
        </w:rPr>
        <w:t>Milestones</w:t>
      </w:r>
    </w:p>
    <w:p w14:paraId="1AF87045" w14:textId="77777777" w:rsidR="00EA527A" w:rsidRDefault="00EA527A" w:rsidP="00EA527A"/>
    <w:p w14:paraId="47F7B632" w14:textId="77777777" w:rsidR="00EA527A" w:rsidRPr="00176557" w:rsidRDefault="00EA527A" w:rsidP="00EA527A">
      <w:pPr>
        <w:rPr>
          <w:sz w:val="26"/>
          <w:szCs w:val="26"/>
        </w:rPr>
      </w:pPr>
      <w:r w:rsidRPr="00176557">
        <w:rPr>
          <w:sz w:val="26"/>
          <w:szCs w:val="26"/>
        </w:rPr>
        <w:t>- Initial draft submission: Week 7</w:t>
      </w:r>
    </w:p>
    <w:p w14:paraId="05157FAC" w14:textId="77777777" w:rsidR="00EA527A" w:rsidRPr="00176557" w:rsidRDefault="00EA527A" w:rsidP="00EA527A">
      <w:pPr>
        <w:rPr>
          <w:sz w:val="26"/>
          <w:szCs w:val="26"/>
        </w:rPr>
      </w:pPr>
      <w:r w:rsidRPr="00176557">
        <w:rPr>
          <w:sz w:val="26"/>
          <w:szCs w:val="26"/>
        </w:rPr>
        <w:t>- Final submission and presentation: Week 8</w:t>
      </w:r>
    </w:p>
    <w:p w14:paraId="60834D91" w14:textId="77777777" w:rsidR="00EA527A" w:rsidRDefault="00EA527A" w:rsidP="00EA527A"/>
    <w:bookmarkStart w:id="8" w:name="_Toc188804270" w:displacedByCustomXml="next"/>
    <w:sdt>
      <w:sdtPr>
        <w:id w:val="-1005898403"/>
        <w:docPartObj>
          <w:docPartGallery w:val="Bibliographies"/>
          <w:docPartUnique/>
        </w:docPartObj>
      </w:sdtPr>
      <w:sdtEndPr>
        <w:rPr>
          <w:rFonts w:asciiTheme="minorHAnsi" w:eastAsiaTheme="minorHAnsi" w:hAnsiTheme="minorHAnsi" w:cstheme="minorBidi"/>
          <w:color w:val="auto"/>
          <w:sz w:val="22"/>
          <w:szCs w:val="22"/>
        </w:rPr>
      </w:sdtEndPr>
      <w:sdtContent>
        <w:p w14:paraId="484E2B54" w14:textId="0D005D3F" w:rsidR="006974B7" w:rsidRDefault="006974B7">
          <w:pPr>
            <w:pStyle w:val="Heading1"/>
          </w:pPr>
          <w:r>
            <w:t>References</w:t>
          </w:r>
          <w:bookmarkEnd w:id="8"/>
        </w:p>
        <w:sdt>
          <w:sdtPr>
            <w:id w:val="-573587230"/>
            <w:bibliography/>
          </w:sdtPr>
          <w:sdtContent>
            <w:p w14:paraId="5170462A" w14:textId="77777777" w:rsidR="006974B7" w:rsidRDefault="006974B7" w:rsidP="006974B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Aldasoro, I., &amp; al., e. (2020). Global and Financial Domestic Cycle. </w:t>
              </w:r>
              <w:r>
                <w:rPr>
                  <w:i/>
                  <w:iCs/>
                  <w:noProof/>
                </w:rPr>
                <w:t>NBER Working Paper Series</w:t>
              </w:r>
              <w:r>
                <w:rPr>
                  <w:noProof/>
                </w:rPr>
                <w:t>, 51.</w:t>
              </w:r>
            </w:p>
            <w:p w14:paraId="5B40998A" w14:textId="77777777" w:rsidR="006974B7" w:rsidRDefault="006974B7" w:rsidP="006974B7">
              <w:pPr>
                <w:pStyle w:val="Bibliography"/>
                <w:ind w:left="720" w:hanging="720"/>
                <w:rPr>
                  <w:noProof/>
                </w:rPr>
              </w:pPr>
              <w:r>
                <w:rPr>
                  <w:noProof/>
                </w:rPr>
                <w:t xml:space="preserve">Bernanke, B., Gertler, M., &amp; Gilchrist, S. (1999). </w:t>
              </w:r>
              <w:r>
                <w:rPr>
                  <w:i/>
                  <w:iCs/>
                  <w:noProof/>
                </w:rPr>
                <w:t>The financial accelerator in a quantitative business cycle framework.</w:t>
              </w:r>
              <w:r>
                <w:rPr>
                  <w:noProof/>
                </w:rPr>
                <w:t xml:space="preserve"> Chicago: Handbook of Macroeconomics.</w:t>
              </w:r>
            </w:p>
            <w:p w14:paraId="584F2CA1" w14:textId="77777777" w:rsidR="006974B7" w:rsidRDefault="006974B7" w:rsidP="006974B7">
              <w:pPr>
                <w:pStyle w:val="Bibliography"/>
                <w:ind w:left="720" w:hanging="720"/>
                <w:rPr>
                  <w:noProof/>
                </w:rPr>
              </w:pPr>
              <w:r>
                <w:rPr>
                  <w:noProof/>
                </w:rPr>
                <w:t xml:space="preserve">Borio, C. (2014). The financial cycle and macroeconomics: What have we learnt? </w:t>
              </w:r>
              <w:r>
                <w:rPr>
                  <w:i/>
                  <w:iCs/>
                  <w:noProof/>
                </w:rPr>
                <w:t>Journal of Banking &amp; Finance</w:t>
              </w:r>
              <w:r>
                <w:rPr>
                  <w:noProof/>
                </w:rPr>
                <w:t>, 182-198.</w:t>
              </w:r>
            </w:p>
            <w:p w14:paraId="70701319" w14:textId="77777777" w:rsidR="006974B7" w:rsidRDefault="006974B7" w:rsidP="006974B7">
              <w:pPr>
                <w:pStyle w:val="Bibliography"/>
                <w:ind w:left="720" w:hanging="720"/>
                <w:rPr>
                  <w:noProof/>
                </w:rPr>
              </w:pPr>
              <w:r>
                <w:rPr>
                  <w:noProof/>
                </w:rPr>
                <w:t xml:space="preserve">Borio, C., Drehmann, M., &amp; Xia, D. (2001). Procyclicality of financial systems and financial stability. </w:t>
              </w:r>
              <w:r>
                <w:rPr>
                  <w:i/>
                  <w:iCs/>
                  <w:noProof/>
                </w:rPr>
                <w:t>BIS Papers</w:t>
              </w:r>
              <w:r>
                <w:rPr>
                  <w:noProof/>
                </w:rPr>
                <w:t>, 1-57.</w:t>
              </w:r>
            </w:p>
            <w:p w14:paraId="16999487" w14:textId="77777777" w:rsidR="006974B7" w:rsidRDefault="006974B7" w:rsidP="006974B7">
              <w:pPr>
                <w:pStyle w:val="Bibliography"/>
                <w:ind w:left="720" w:hanging="720"/>
                <w:rPr>
                  <w:noProof/>
                </w:rPr>
              </w:pPr>
              <w:r>
                <w:rPr>
                  <w:noProof/>
                </w:rPr>
                <w:t xml:space="preserve">Ceratti, E., &amp; al., e. (1019). Drivers of capital flows and financial conditions. </w:t>
              </w:r>
              <w:r>
                <w:rPr>
                  <w:i/>
                  <w:iCs/>
                  <w:noProof/>
                </w:rPr>
                <w:t>journal of Financial Stability</w:t>
              </w:r>
              <w:r>
                <w:rPr>
                  <w:noProof/>
                </w:rPr>
                <w:t>, 43.</w:t>
              </w:r>
            </w:p>
            <w:p w14:paraId="1CE3CEFE" w14:textId="77777777" w:rsidR="006974B7" w:rsidRDefault="006974B7" w:rsidP="006974B7">
              <w:pPr>
                <w:pStyle w:val="Bibliography"/>
                <w:ind w:left="720" w:hanging="720"/>
                <w:rPr>
                  <w:noProof/>
                </w:rPr>
              </w:pPr>
              <w:r>
                <w:rPr>
                  <w:noProof/>
                </w:rPr>
                <w:t xml:space="preserve">Claessens, S., Kose, &amp; Terrones. (2011). How do business and financial cycles interact? . </w:t>
              </w:r>
              <w:r>
                <w:rPr>
                  <w:i/>
                  <w:iCs/>
                  <w:noProof/>
                </w:rPr>
                <w:t>IMF Working Paper</w:t>
              </w:r>
              <w:r>
                <w:rPr>
                  <w:noProof/>
                </w:rPr>
                <w:t>, 12-22.</w:t>
              </w:r>
            </w:p>
            <w:p w14:paraId="6A88B8D8" w14:textId="77777777" w:rsidR="006974B7" w:rsidRDefault="006974B7" w:rsidP="006974B7">
              <w:pPr>
                <w:pStyle w:val="Bibliography"/>
                <w:ind w:left="720" w:hanging="720"/>
                <w:rPr>
                  <w:noProof/>
                </w:rPr>
              </w:pPr>
              <w:r>
                <w:rPr>
                  <w:noProof/>
                </w:rPr>
                <w:t xml:space="preserve">Drehman, M., &amp; al, e. (2012). Measuring financial cycles. </w:t>
              </w:r>
              <w:r>
                <w:rPr>
                  <w:i/>
                  <w:iCs/>
                  <w:noProof/>
                </w:rPr>
                <w:t>BIS Quarterly Review</w:t>
              </w:r>
              <w:r>
                <w:rPr>
                  <w:noProof/>
                </w:rPr>
                <w:t>, 1-36.</w:t>
              </w:r>
            </w:p>
            <w:p w14:paraId="1A2816C1" w14:textId="77777777" w:rsidR="006974B7" w:rsidRDefault="006974B7" w:rsidP="006974B7">
              <w:pPr>
                <w:pStyle w:val="Bibliography"/>
                <w:ind w:left="720" w:hanging="720"/>
                <w:rPr>
                  <w:noProof/>
                </w:rPr>
              </w:pPr>
              <w:r>
                <w:rPr>
                  <w:noProof/>
                </w:rPr>
                <w:t xml:space="preserve">Hasan, M., &amp; Islam, M. (2020). Exchange rate volatility and economic growth in Bangladesh. </w:t>
              </w:r>
              <w:r>
                <w:rPr>
                  <w:i/>
                  <w:iCs/>
                  <w:noProof/>
                </w:rPr>
                <w:t>Bangladesh Development Studies</w:t>
              </w:r>
              <w:r>
                <w:rPr>
                  <w:noProof/>
                </w:rPr>
                <w:t>, 57-74.</w:t>
              </w:r>
            </w:p>
            <w:p w14:paraId="0EFDAD41" w14:textId="77777777" w:rsidR="006974B7" w:rsidRDefault="006974B7" w:rsidP="006974B7">
              <w:pPr>
                <w:pStyle w:val="Bibliography"/>
                <w:ind w:left="720" w:hanging="720"/>
                <w:rPr>
                  <w:noProof/>
                </w:rPr>
              </w:pPr>
              <w:r>
                <w:rPr>
                  <w:noProof/>
                </w:rPr>
                <w:t xml:space="preserve">Miranda-Agrippino, S., &amp; Reey, H. (2015). The global financial cycle. </w:t>
              </w:r>
              <w:r>
                <w:rPr>
                  <w:i/>
                  <w:iCs/>
                  <w:noProof/>
                </w:rPr>
                <w:t>NBER Working Paper Series</w:t>
              </w:r>
              <w:r>
                <w:rPr>
                  <w:noProof/>
                </w:rPr>
                <w:t>, 21-22.</w:t>
              </w:r>
            </w:p>
            <w:p w14:paraId="34EC4080" w14:textId="77777777" w:rsidR="006974B7" w:rsidRDefault="006974B7" w:rsidP="006974B7">
              <w:pPr>
                <w:pStyle w:val="Bibliography"/>
                <w:ind w:left="720" w:hanging="720"/>
                <w:rPr>
                  <w:noProof/>
                </w:rPr>
              </w:pPr>
              <w:r>
                <w:rPr>
                  <w:noProof/>
                </w:rPr>
                <w:lastRenderedPageBreak/>
                <w:t xml:space="preserve">Oman, W. (2019). The synchronization of business cycles and financial cycles in the Euro area. </w:t>
              </w:r>
              <w:r>
                <w:rPr>
                  <w:i/>
                  <w:iCs/>
                  <w:noProof/>
                </w:rPr>
                <w:t>International Journal of Central Banking.</w:t>
              </w:r>
              <w:r>
                <w:rPr>
                  <w:noProof/>
                </w:rPr>
                <w:t>, 1-55.</w:t>
              </w:r>
            </w:p>
            <w:p w14:paraId="79E105C3" w14:textId="77798C18" w:rsidR="006974B7" w:rsidRDefault="006974B7" w:rsidP="006974B7">
              <w:r>
                <w:rPr>
                  <w:b/>
                  <w:bCs/>
                  <w:noProof/>
                </w:rPr>
                <w:fldChar w:fldCharType="end"/>
              </w:r>
            </w:p>
          </w:sdtContent>
        </w:sdt>
      </w:sdtContent>
    </w:sdt>
    <w:p w14:paraId="0368EEC2" w14:textId="77777777" w:rsidR="006D4070" w:rsidRDefault="006D4070"/>
    <w:sectPr w:rsidR="006D4070" w:rsidSect="00D77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4D256" w14:textId="77777777" w:rsidR="0060060A" w:rsidRDefault="0060060A" w:rsidP="00D77753">
      <w:pPr>
        <w:spacing w:after="0" w:line="240" w:lineRule="auto"/>
      </w:pPr>
      <w:r>
        <w:separator/>
      </w:r>
    </w:p>
  </w:endnote>
  <w:endnote w:type="continuationSeparator" w:id="0">
    <w:p w14:paraId="7EB239B5" w14:textId="77777777" w:rsidR="0060060A" w:rsidRDefault="0060060A" w:rsidP="00D7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492225"/>
      <w:docPartObj>
        <w:docPartGallery w:val="Page Numbers (Bottom of Page)"/>
        <w:docPartUnique/>
      </w:docPartObj>
    </w:sdtPr>
    <w:sdtEndPr>
      <w:rPr>
        <w:noProof/>
      </w:rPr>
    </w:sdtEndPr>
    <w:sdtContent>
      <w:p w14:paraId="18734B58" w14:textId="10E5A38C" w:rsidR="00D77753" w:rsidRDefault="00D777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008BA" w14:textId="77777777" w:rsidR="00D77753" w:rsidRDefault="00D77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CAAF2" w14:textId="77777777" w:rsidR="0060060A" w:rsidRDefault="0060060A" w:rsidP="00D77753">
      <w:pPr>
        <w:spacing w:after="0" w:line="240" w:lineRule="auto"/>
      </w:pPr>
      <w:r>
        <w:separator/>
      </w:r>
    </w:p>
  </w:footnote>
  <w:footnote w:type="continuationSeparator" w:id="0">
    <w:p w14:paraId="7AFF4DD4" w14:textId="77777777" w:rsidR="0060060A" w:rsidRDefault="0060060A" w:rsidP="00D777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7A"/>
    <w:rsid w:val="001310A2"/>
    <w:rsid w:val="00172223"/>
    <w:rsid w:val="00176557"/>
    <w:rsid w:val="002974ED"/>
    <w:rsid w:val="00366352"/>
    <w:rsid w:val="004B4E80"/>
    <w:rsid w:val="005E54DF"/>
    <w:rsid w:val="0060060A"/>
    <w:rsid w:val="006974B7"/>
    <w:rsid w:val="006D4070"/>
    <w:rsid w:val="00707C88"/>
    <w:rsid w:val="00A23579"/>
    <w:rsid w:val="00B15D4E"/>
    <w:rsid w:val="00B87ED8"/>
    <w:rsid w:val="00C22CA2"/>
    <w:rsid w:val="00C72D06"/>
    <w:rsid w:val="00CB5AF6"/>
    <w:rsid w:val="00D227FC"/>
    <w:rsid w:val="00D74927"/>
    <w:rsid w:val="00D77753"/>
    <w:rsid w:val="00EA5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7C8C"/>
  <w15:chartTrackingRefBased/>
  <w15:docId w15:val="{80DDDA1A-6A02-4679-B183-2C0D4819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27A"/>
    <w:rPr>
      <w:rFonts w:eastAsiaTheme="majorEastAsia" w:cstheme="majorBidi"/>
      <w:color w:val="272727" w:themeColor="text1" w:themeTint="D8"/>
    </w:rPr>
  </w:style>
  <w:style w:type="paragraph" w:styleId="Title">
    <w:name w:val="Title"/>
    <w:basedOn w:val="Normal"/>
    <w:next w:val="Normal"/>
    <w:link w:val="TitleChar"/>
    <w:uiPriority w:val="10"/>
    <w:qFormat/>
    <w:rsid w:val="00EA5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27A"/>
    <w:pPr>
      <w:spacing w:before="160"/>
      <w:jc w:val="center"/>
    </w:pPr>
    <w:rPr>
      <w:i/>
      <w:iCs/>
      <w:color w:val="404040" w:themeColor="text1" w:themeTint="BF"/>
    </w:rPr>
  </w:style>
  <w:style w:type="character" w:customStyle="1" w:styleId="QuoteChar">
    <w:name w:val="Quote Char"/>
    <w:basedOn w:val="DefaultParagraphFont"/>
    <w:link w:val="Quote"/>
    <w:uiPriority w:val="29"/>
    <w:rsid w:val="00EA527A"/>
    <w:rPr>
      <w:i/>
      <w:iCs/>
      <w:color w:val="404040" w:themeColor="text1" w:themeTint="BF"/>
    </w:rPr>
  </w:style>
  <w:style w:type="paragraph" w:styleId="ListParagraph">
    <w:name w:val="List Paragraph"/>
    <w:basedOn w:val="Normal"/>
    <w:uiPriority w:val="34"/>
    <w:qFormat/>
    <w:rsid w:val="00EA527A"/>
    <w:pPr>
      <w:ind w:left="720"/>
      <w:contextualSpacing/>
    </w:pPr>
  </w:style>
  <w:style w:type="character" w:styleId="IntenseEmphasis">
    <w:name w:val="Intense Emphasis"/>
    <w:basedOn w:val="DefaultParagraphFont"/>
    <w:uiPriority w:val="21"/>
    <w:qFormat/>
    <w:rsid w:val="00EA527A"/>
    <w:rPr>
      <w:i/>
      <w:iCs/>
      <w:color w:val="0F4761" w:themeColor="accent1" w:themeShade="BF"/>
    </w:rPr>
  </w:style>
  <w:style w:type="paragraph" w:styleId="IntenseQuote">
    <w:name w:val="Intense Quote"/>
    <w:basedOn w:val="Normal"/>
    <w:next w:val="Normal"/>
    <w:link w:val="IntenseQuoteChar"/>
    <w:uiPriority w:val="30"/>
    <w:qFormat/>
    <w:rsid w:val="00EA5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27A"/>
    <w:rPr>
      <w:i/>
      <w:iCs/>
      <w:color w:val="0F4761" w:themeColor="accent1" w:themeShade="BF"/>
    </w:rPr>
  </w:style>
  <w:style w:type="character" w:styleId="IntenseReference">
    <w:name w:val="Intense Reference"/>
    <w:basedOn w:val="DefaultParagraphFont"/>
    <w:uiPriority w:val="32"/>
    <w:qFormat/>
    <w:rsid w:val="00EA527A"/>
    <w:rPr>
      <w:b/>
      <w:bCs/>
      <w:smallCaps/>
      <w:color w:val="0F4761" w:themeColor="accent1" w:themeShade="BF"/>
      <w:spacing w:val="5"/>
    </w:rPr>
  </w:style>
  <w:style w:type="character" w:styleId="SubtleEmphasis">
    <w:name w:val="Subtle Emphasis"/>
    <w:basedOn w:val="DefaultParagraphFont"/>
    <w:uiPriority w:val="19"/>
    <w:qFormat/>
    <w:rsid w:val="004B4E80"/>
    <w:rPr>
      <w:i/>
      <w:iCs/>
      <w:color w:val="404040" w:themeColor="text1" w:themeTint="BF"/>
    </w:rPr>
  </w:style>
  <w:style w:type="character" w:styleId="Emphasis">
    <w:name w:val="Emphasis"/>
    <w:basedOn w:val="DefaultParagraphFont"/>
    <w:uiPriority w:val="20"/>
    <w:qFormat/>
    <w:rsid w:val="00366352"/>
    <w:rPr>
      <w:i/>
      <w:iCs/>
    </w:rPr>
  </w:style>
  <w:style w:type="paragraph" w:styleId="Header">
    <w:name w:val="header"/>
    <w:basedOn w:val="Normal"/>
    <w:link w:val="HeaderChar"/>
    <w:uiPriority w:val="99"/>
    <w:unhideWhenUsed/>
    <w:rsid w:val="00D7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753"/>
  </w:style>
  <w:style w:type="paragraph" w:styleId="Footer">
    <w:name w:val="footer"/>
    <w:basedOn w:val="Normal"/>
    <w:link w:val="FooterChar"/>
    <w:uiPriority w:val="99"/>
    <w:unhideWhenUsed/>
    <w:rsid w:val="00D7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753"/>
  </w:style>
  <w:style w:type="paragraph" w:styleId="Bibliography">
    <w:name w:val="Bibliography"/>
    <w:basedOn w:val="Normal"/>
    <w:next w:val="Normal"/>
    <w:uiPriority w:val="37"/>
    <w:unhideWhenUsed/>
    <w:rsid w:val="006974B7"/>
  </w:style>
  <w:style w:type="paragraph" w:styleId="TOCHeading">
    <w:name w:val="TOC Heading"/>
    <w:basedOn w:val="Heading1"/>
    <w:next w:val="Normal"/>
    <w:uiPriority w:val="39"/>
    <w:unhideWhenUsed/>
    <w:qFormat/>
    <w:rsid w:val="006974B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974B7"/>
    <w:pPr>
      <w:spacing w:after="100"/>
    </w:pPr>
  </w:style>
  <w:style w:type="character" w:styleId="Hyperlink">
    <w:name w:val="Hyperlink"/>
    <w:basedOn w:val="DefaultParagraphFont"/>
    <w:uiPriority w:val="99"/>
    <w:unhideWhenUsed/>
    <w:rsid w:val="006974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4893">
      <w:bodyDiv w:val="1"/>
      <w:marLeft w:val="0"/>
      <w:marRight w:val="0"/>
      <w:marTop w:val="0"/>
      <w:marBottom w:val="0"/>
      <w:divBdr>
        <w:top w:val="none" w:sz="0" w:space="0" w:color="auto"/>
        <w:left w:val="none" w:sz="0" w:space="0" w:color="auto"/>
        <w:bottom w:val="none" w:sz="0" w:space="0" w:color="auto"/>
        <w:right w:val="none" w:sz="0" w:space="0" w:color="auto"/>
      </w:divBdr>
    </w:div>
    <w:div w:id="90392242">
      <w:bodyDiv w:val="1"/>
      <w:marLeft w:val="0"/>
      <w:marRight w:val="0"/>
      <w:marTop w:val="0"/>
      <w:marBottom w:val="0"/>
      <w:divBdr>
        <w:top w:val="none" w:sz="0" w:space="0" w:color="auto"/>
        <w:left w:val="none" w:sz="0" w:space="0" w:color="auto"/>
        <w:bottom w:val="none" w:sz="0" w:space="0" w:color="auto"/>
        <w:right w:val="none" w:sz="0" w:space="0" w:color="auto"/>
      </w:divBdr>
    </w:div>
    <w:div w:id="197478569">
      <w:bodyDiv w:val="1"/>
      <w:marLeft w:val="0"/>
      <w:marRight w:val="0"/>
      <w:marTop w:val="0"/>
      <w:marBottom w:val="0"/>
      <w:divBdr>
        <w:top w:val="none" w:sz="0" w:space="0" w:color="auto"/>
        <w:left w:val="none" w:sz="0" w:space="0" w:color="auto"/>
        <w:bottom w:val="none" w:sz="0" w:space="0" w:color="auto"/>
        <w:right w:val="none" w:sz="0" w:space="0" w:color="auto"/>
      </w:divBdr>
    </w:div>
    <w:div w:id="211819022">
      <w:bodyDiv w:val="1"/>
      <w:marLeft w:val="0"/>
      <w:marRight w:val="0"/>
      <w:marTop w:val="0"/>
      <w:marBottom w:val="0"/>
      <w:divBdr>
        <w:top w:val="none" w:sz="0" w:space="0" w:color="auto"/>
        <w:left w:val="none" w:sz="0" w:space="0" w:color="auto"/>
        <w:bottom w:val="none" w:sz="0" w:space="0" w:color="auto"/>
        <w:right w:val="none" w:sz="0" w:space="0" w:color="auto"/>
      </w:divBdr>
    </w:div>
    <w:div w:id="374740771">
      <w:bodyDiv w:val="1"/>
      <w:marLeft w:val="0"/>
      <w:marRight w:val="0"/>
      <w:marTop w:val="0"/>
      <w:marBottom w:val="0"/>
      <w:divBdr>
        <w:top w:val="none" w:sz="0" w:space="0" w:color="auto"/>
        <w:left w:val="none" w:sz="0" w:space="0" w:color="auto"/>
        <w:bottom w:val="none" w:sz="0" w:space="0" w:color="auto"/>
        <w:right w:val="none" w:sz="0" w:space="0" w:color="auto"/>
      </w:divBdr>
    </w:div>
    <w:div w:id="381633545">
      <w:bodyDiv w:val="1"/>
      <w:marLeft w:val="0"/>
      <w:marRight w:val="0"/>
      <w:marTop w:val="0"/>
      <w:marBottom w:val="0"/>
      <w:divBdr>
        <w:top w:val="none" w:sz="0" w:space="0" w:color="auto"/>
        <w:left w:val="none" w:sz="0" w:space="0" w:color="auto"/>
        <w:bottom w:val="none" w:sz="0" w:space="0" w:color="auto"/>
        <w:right w:val="none" w:sz="0" w:space="0" w:color="auto"/>
      </w:divBdr>
    </w:div>
    <w:div w:id="391200130">
      <w:bodyDiv w:val="1"/>
      <w:marLeft w:val="0"/>
      <w:marRight w:val="0"/>
      <w:marTop w:val="0"/>
      <w:marBottom w:val="0"/>
      <w:divBdr>
        <w:top w:val="none" w:sz="0" w:space="0" w:color="auto"/>
        <w:left w:val="none" w:sz="0" w:space="0" w:color="auto"/>
        <w:bottom w:val="none" w:sz="0" w:space="0" w:color="auto"/>
        <w:right w:val="none" w:sz="0" w:space="0" w:color="auto"/>
      </w:divBdr>
    </w:div>
    <w:div w:id="484708696">
      <w:bodyDiv w:val="1"/>
      <w:marLeft w:val="0"/>
      <w:marRight w:val="0"/>
      <w:marTop w:val="0"/>
      <w:marBottom w:val="0"/>
      <w:divBdr>
        <w:top w:val="none" w:sz="0" w:space="0" w:color="auto"/>
        <w:left w:val="none" w:sz="0" w:space="0" w:color="auto"/>
        <w:bottom w:val="none" w:sz="0" w:space="0" w:color="auto"/>
        <w:right w:val="none" w:sz="0" w:space="0" w:color="auto"/>
      </w:divBdr>
    </w:div>
    <w:div w:id="532547010">
      <w:bodyDiv w:val="1"/>
      <w:marLeft w:val="0"/>
      <w:marRight w:val="0"/>
      <w:marTop w:val="0"/>
      <w:marBottom w:val="0"/>
      <w:divBdr>
        <w:top w:val="none" w:sz="0" w:space="0" w:color="auto"/>
        <w:left w:val="none" w:sz="0" w:space="0" w:color="auto"/>
        <w:bottom w:val="none" w:sz="0" w:space="0" w:color="auto"/>
        <w:right w:val="none" w:sz="0" w:space="0" w:color="auto"/>
      </w:divBdr>
    </w:div>
    <w:div w:id="589318655">
      <w:bodyDiv w:val="1"/>
      <w:marLeft w:val="0"/>
      <w:marRight w:val="0"/>
      <w:marTop w:val="0"/>
      <w:marBottom w:val="0"/>
      <w:divBdr>
        <w:top w:val="none" w:sz="0" w:space="0" w:color="auto"/>
        <w:left w:val="none" w:sz="0" w:space="0" w:color="auto"/>
        <w:bottom w:val="none" w:sz="0" w:space="0" w:color="auto"/>
        <w:right w:val="none" w:sz="0" w:space="0" w:color="auto"/>
      </w:divBdr>
    </w:div>
    <w:div w:id="590819235">
      <w:bodyDiv w:val="1"/>
      <w:marLeft w:val="0"/>
      <w:marRight w:val="0"/>
      <w:marTop w:val="0"/>
      <w:marBottom w:val="0"/>
      <w:divBdr>
        <w:top w:val="none" w:sz="0" w:space="0" w:color="auto"/>
        <w:left w:val="none" w:sz="0" w:space="0" w:color="auto"/>
        <w:bottom w:val="none" w:sz="0" w:space="0" w:color="auto"/>
        <w:right w:val="none" w:sz="0" w:space="0" w:color="auto"/>
      </w:divBdr>
    </w:div>
    <w:div w:id="624387327">
      <w:bodyDiv w:val="1"/>
      <w:marLeft w:val="0"/>
      <w:marRight w:val="0"/>
      <w:marTop w:val="0"/>
      <w:marBottom w:val="0"/>
      <w:divBdr>
        <w:top w:val="none" w:sz="0" w:space="0" w:color="auto"/>
        <w:left w:val="none" w:sz="0" w:space="0" w:color="auto"/>
        <w:bottom w:val="none" w:sz="0" w:space="0" w:color="auto"/>
        <w:right w:val="none" w:sz="0" w:space="0" w:color="auto"/>
      </w:divBdr>
    </w:div>
    <w:div w:id="670177827">
      <w:bodyDiv w:val="1"/>
      <w:marLeft w:val="0"/>
      <w:marRight w:val="0"/>
      <w:marTop w:val="0"/>
      <w:marBottom w:val="0"/>
      <w:divBdr>
        <w:top w:val="none" w:sz="0" w:space="0" w:color="auto"/>
        <w:left w:val="none" w:sz="0" w:space="0" w:color="auto"/>
        <w:bottom w:val="none" w:sz="0" w:space="0" w:color="auto"/>
        <w:right w:val="none" w:sz="0" w:space="0" w:color="auto"/>
      </w:divBdr>
    </w:div>
    <w:div w:id="764771090">
      <w:bodyDiv w:val="1"/>
      <w:marLeft w:val="0"/>
      <w:marRight w:val="0"/>
      <w:marTop w:val="0"/>
      <w:marBottom w:val="0"/>
      <w:divBdr>
        <w:top w:val="none" w:sz="0" w:space="0" w:color="auto"/>
        <w:left w:val="none" w:sz="0" w:space="0" w:color="auto"/>
        <w:bottom w:val="none" w:sz="0" w:space="0" w:color="auto"/>
        <w:right w:val="none" w:sz="0" w:space="0" w:color="auto"/>
      </w:divBdr>
    </w:div>
    <w:div w:id="809178937">
      <w:bodyDiv w:val="1"/>
      <w:marLeft w:val="0"/>
      <w:marRight w:val="0"/>
      <w:marTop w:val="0"/>
      <w:marBottom w:val="0"/>
      <w:divBdr>
        <w:top w:val="none" w:sz="0" w:space="0" w:color="auto"/>
        <w:left w:val="none" w:sz="0" w:space="0" w:color="auto"/>
        <w:bottom w:val="none" w:sz="0" w:space="0" w:color="auto"/>
        <w:right w:val="none" w:sz="0" w:space="0" w:color="auto"/>
      </w:divBdr>
    </w:div>
    <w:div w:id="933394779">
      <w:bodyDiv w:val="1"/>
      <w:marLeft w:val="0"/>
      <w:marRight w:val="0"/>
      <w:marTop w:val="0"/>
      <w:marBottom w:val="0"/>
      <w:divBdr>
        <w:top w:val="none" w:sz="0" w:space="0" w:color="auto"/>
        <w:left w:val="none" w:sz="0" w:space="0" w:color="auto"/>
        <w:bottom w:val="none" w:sz="0" w:space="0" w:color="auto"/>
        <w:right w:val="none" w:sz="0" w:space="0" w:color="auto"/>
      </w:divBdr>
    </w:div>
    <w:div w:id="944845090">
      <w:bodyDiv w:val="1"/>
      <w:marLeft w:val="0"/>
      <w:marRight w:val="0"/>
      <w:marTop w:val="0"/>
      <w:marBottom w:val="0"/>
      <w:divBdr>
        <w:top w:val="none" w:sz="0" w:space="0" w:color="auto"/>
        <w:left w:val="none" w:sz="0" w:space="0" w:color="auto"/>
        <w:bottom w:val="none" w:sz="0" w:space="0" w:color="auto"/>
        <w:right w:val="none" w:sz="0" w:space="0" w:color="auto"/>
      </w:divBdr>
    </w:div>
    <w:div w:id="960720403">
      <w:bodyDiv w:val="1"/>
      <w:marLeft w:val="0"/>
      <w:marRight w:val="0"/>
      <w:marTop w:val="0"/>
      <w:marBottom w:val="0"/>
      <w:divBdr>
        <w:top w:val="none" w:sz="0" w:space="0" w:color="auto"/>
        <w:left w:val="none" w:sz="0" w:space="0" w:color="auto"/>
        <w:bottom w:val="none" w:sz="0" w:space="0" w:color="auto"/>
        <w:right w:val="none" w:sz="0" w:space="0" w:color="auto"/>
      </w:divBdr>
    </w:div>
    <w:div w:id="966936675">
      <w:bodyDiv w:val="1"/>
      <w:marLeft w:val="0"/>
      <w:marRight w:val="0"/>
      <w:marTop w:val="0"/>
      <w:marBottom w:val="0"/>
      <w:divBdr>
        <w:top w:val="none" w:sz="0" w:space="0" w:color="auto"/>
        <w:left w:val="none" w:sz="0" w:space="0" w:color="auto"/>
        <w:bottom w:val="none" w:sz="0" w:space="0" w:color="auto"/>
        <w:right w:val="none" w:sz="0" w:space="0" w:color="auto"/>
      </w:divBdr>
    </w:div>
    <w:div w:id="1001659699">
      <w:bodyDiv w:val="1"/>
      <w:marLeft w:val="0"/>
      <w:marRight w:val="0"/>
      <w:marTop w:val="0"/>
      <w:marBottom w:val="0"/>
      <w:divBdr>
        <w:top w:val="none" w:sz="0" w:space="0" w:color="auto"/>
        <w:left w:val="none" w:sz="0" w:space="0" w:color="auto"/>
        <w:bottom w:val="none" w:sz="0" w:space="0" w:color="auto"/>
        <w:right w:val="none" w:sz="0" w:space="0" w:color="auto"/>
      </w:divBdr>
    </w:div>
    <w:div w:id="1069184448">
      <w:bodyDiv w:val="1"/>
      <w:marLeft w:val="0"/>
      <w:marRight w:val="0"/>
      <w:marTop w:val="0"/>
      <w:marBottom w:val="0"/>
      <w:divBdr>
        <w:top w:val="none" w:sz="0" w:space="0" w:color="auto"/>
        <w:left w:val="none" w:sz="0" w:space="0" w:color="auto"/>
        <w:bottom w:val="none" w:sz="0" w:space="0" w:color="auto"/>
        <w:right w:val="none" w:sz="0" w:space="0" w:color="auto"/>
      </w:divBdr>
    </w:div>
    <w:div w:id="1129666492">
      <w:bodyDiv w:val="1"/>
      <w:marLeft w:val="0"/>
      <w:marRight w:val="0"/>
      <w:marTop w:val="0"/>
      <w:marBottom w:val="0"/>
      <w:divBdr>
        <w:top w:val="none" w:sz="0" w:space="0" w:color="auto"/>
        <w:left w:val="none" w:sz="0" w:space="0" w:color="auto"/>
        <w:bottom w:val="none" w:sz="0" w:space="0" w:color="auto"/>
        <w:right w:val="none" w:sz="0" w:space="0" w:color="auto"/>
      </w:divBdr>
    </w:div>
    <w:div w:id="1199661212">
      <w:bodyDiv w:val="1"/>
      <w:marLeft w:val="0"/>
      <w:marRight w:val="0"/>
      <w:marTop w:val="0"/>
      <w:marBottom w:val="0"/>
      <w:divBdr>
        <w:top w:val="none" w:sz="0" w:space="0" w:color="auto"/>
        <w:left w:val="none" w:sz="0" w:space="0" w:color="auto"/>
        <w:bottom w:val="none" w:sz="0" w:space="0" w:color="auto"/>
        <w:right w:val="none" w:sz="0" w:space="0" w:color="auto"/>
      </w:divBdr>
    </w:div>
    <w:div w:id="1218857104">
      <w:bodyDiv w:val="1"/>
      <w:marLeft w:val="0"/>
      <w:marRight w:val="0"/>
      <w:marTop w:val="0"/>
      <w:marBottom w:val="0"/>
      <w:divBdr>
        <w:top w:val="none" w:sz="0" w:space="0" w:color="auto"/>
        <w:left w:val="none" w:sz="0" w:space="0" w:color="auto"/>
        <w:bottom w:val="none" w:sz="0" w:space="0" w:color="auto"/>
        <w:right w:val="none" w:sz="0" w:space="0" w:color="auto"/>
      </w:divBdr>
    </w:div>
    <w:div w:id="1294289916">
      <w:bodyDiv w:val="1"/>
      <w:marLeft w:val="0"/>
      <w:marRight w:val="0"/>
      <w:marTop w:val="0"/>
      <w:marBottom w:val="0"/>
      <w:divBdr>
        <w:top w:val="none" w:sz="0" w:space="0" w:color="auto"/>
        <w:left w:val="none" w:sz="0" w:space="0" w:color="auto"/>
        <w:bottom w:val="none" w:sz="0" w:space="0" w:color="auto"/>
        <w:right w:val="none" w:sz="0" w:space="0" w:color="auto"/>
      </w:divBdr>
    </w:div>
    <w:div w:id="1303195440">
      <w:bodyDiv w:val="1"/>
      <w:marLeft w:val="0"/>
      <w:marRight w:val="0"/>
      <w:marTop w:val="0"/>
      <w:marBottom w:val="0"/>
      <w:divBdr>
        <w:top w:val="none" w:sz="0" w:space="0" w:color="auto"/>
        <w:left w:val="none" w:sz="0" w:space="0" w:color="auto"/>
        <w:bottom w:val="none" w:sz="0" w:space="0" w:color="auto"/>
        <w:right w:val="none" w:sz="0" w:space="0" w:color="auto"/>
      </w:divBdr>
    </w:div>
    <w:div w:id="1378049690">
      <w:bodyDiv w:val="1"/>
      <w:marLeft w:val="0"/>
      <w:marRight w:val="0"/>
      <w:marTop w:val="0"/>
      <w:marBottom w:val="0"/>
      <w:divBdr>
        <w:top w:val="none" w:sz="0" w:space="0" w:color="auto"/>
        <w:left w:val="none" w:sz="0" w:space="0" w:color="auto"/>
        <w:bottom w:val="none" w:sz="0" w:space="0" w:color="auto"/>
        <w:right w:val="none" w:sz="0" w:space="0" w:color="auto"/>
      </w:divBdr>
    </w:div>
    <w:div w:id="1465732678">
      <w:bodyDiv w:val="1"/>
      <w:marLeft w:val="0"/>
      <w:marRight w:val="0"/>
      <w:marTop w:val="0"/>
      <w:marBottom w:val="0"/>
      <w:divBdr>
        <w:top w:val="none" w:sz="0" w:space="0" w:color="auto"/>
        <w:left w:val="none" w:sz="0" w:space="0" w:color="auto"/>
        <w:bottom w:val="none" w:sz="0" w:space="0" w:color="auto"/>
        <w:right w:val="none" w:sz="0" w:space="0" w:color="auto"/>
      </w:divBdr>
    </w:div>
    <w:div w:id="1493569434">
      <w:bodyDiv w:val="1"/>
      <w:marLeft w:val="0"/>
      <w:marRight w:val="0"/>
      <w:marTop w:val="0"/>
      <w:marBottom w:val="0"/>
      <w:divBdr>
        <w:top w:val="none" w:sz="0" w:space="0" w:color="auto"/>
        <w:left w:val="none" w:sz="0" w:space="0" w:color="auto"/>
        <w:bottom w:val="none" w:sz="0" w:space="0" w:color="auto"/>
        <w:right w:val="none" w:sz="0" w:space="0" w:color="auto"/>
      </w:divBdr>
    </w:div>
    <w:div w:id="1628583581">
      <w:bodyDiv w:val="1"/>
      <w:marLeft w:val="0"/>
      <w:marRight w:val="0"/>
      <w:marTop w:val="0"/>
      <w:marBottom w:val="0"/>
      <w:divBdr>
        <w:top w:val="none" w:sz="0" w:space="0" w:color="auto"/>
        <w:left w:val="none" w:sz="0" w:space="0" w:color="auto"/>
        <w:bottom w:val="none" w:sz="0" w:space="0" w:color="auto"/>
        <w:right w:val="none" w:sz="0" w:space="0" w:color="auto"/>
      </w:divBdr>
    </w:div>
    <w:div w:id="1692682128">
      <w:bodyDiv w:val="1"/>
      <w:marLeft w:val="0"/>
      <w:marRight w:val="0"/>
      <w:marTop w:val="0"/>
      <w:marBottom w:val="0"/>
      <w:divBdr>
        <w:top w:val="none" w:sz="0" w:space="0" w:color="auto"/>
        <w:left w:val="none" w:sz="0" w:space="0" w:color="auto"/>
        <w:bottom w:val="none" w:sz="0" w:space="0" w:color="auto"/>
        <w:right w:val="none" w:sz="0" w:space="0" w:color="auto"/>
      </w:divBdr>
    </w:div>
    <w:div w:id="1769036275">
      <w:bodyDiv w:val="1"/>
      <w:marLeft w:val="0"/>
      <w:marRight w:val="0"/>
      <w:marTop w:val="0"/>
      <w:marBottom w:val="0"/>
      <w:divBdr>
        <w:top w:val="none" w:sz="0" w:space="0" w:color="auto"/>
        <w:left w:val="none" w:sz="0" w:space="0" w:color="auto"/>
        <w:bottom w:val="none" w:sz="0" w:space="0" w:color="auto"/>
        <w:right w:val="none" w:sz="0" w:space="0" w:color="auto"/>
      </w:divBdr>
    </w:div>
    <w:div w:id="1849950324">
      <w:bodyDiv w:val="1"/>
      <w:marLeft w:val="0"/>
      <w:marRight w:val="0"/>
      <w:marTop w:val="0"/>
      <w:marBottom w:val="0"/>
      <w:divBdr>
        <w:top w:val="none" w:sz="0" w:space="0" w:color="auto"/>
        <w:left w:val="none" w:sz="0" w:space="0" w:color="auto"/>
        <w:bottom w:val="none" w:sz="0" w:space="0" w:color="auto"/>
        <w:right w:val="none" w:sz="0" w:space="0" w:color="auto"/>
      </w:divBdr>
    </w:div>
    <w:div w:id="1864437120">
      <w:bodyDiv w:val="1"/>
      <w:marLeft w:val="0"/>
      <w:marRight w:val="0"/>
      <w:marTop w:val="0"/>
      <w:marBottom w:val="0"/>
      <w:divBdr>
        <w:top w:val="none" w:sz="0" w:space="0" w:color="auto"/>
        <w:left w:val="none" w:sz="0" w:space="0" w:color="auto"/>
        <w:bottom w:val="none" w:sz="0" w:space="0" w:color="auto"/>
        <w:right w:val="none" w:sz="0" w:space="0" w:color="auto"/>
      </w:divBdr>
    </w:div>
    <w:div w:id="1874802344">
      <w:bodyDiv w:val="1"/>
      <w:marLeft w:val="0"/>
      <w:marRight w:val="0"/>
      <w:marTop w:val="0"/>
      <w:marBottom w:val="0"/>
      <w:divBdr>
        <w:top w:val="none" w:sz="0" w:space="0" w:color="auto"/>
        <w:left w:val="none" w:sz="0" w:space="0" w:color="auto"/>
        <w:bottom w:val="none" w:sz="0" w:space="0" w:color="auto"/>
        <w:right w:val="none" w:sz="0" w:space="0" w:color="auto"/>
      </w:divBdr>
    </w:div>
    <w:div w:id="1890728593">
      <w:bodyDiv w:val="1"/>
      <w:marLeft w:val="0"/>
      <w:marRight w:val="0"/>
      <w:marTop w:val="0"/>
      <w:marBottom w:val="0"/>
      <w:divBdr>
        <w:top w:val="none" w:sz="0" w:space="0" w:color="auto"/>
        <w:left w:val="none" w:sz="0" w:space="0" w:color="auto"/>
        <w:bottom w:val="none" w:sz="0" w:space="0" w:color="auto"/>
        <w:right w:val="none" w:sz="0" w:space="0" w:color="auto"/>
      </w:divBdr>
    </w:div>
    <w:div w:id="1906838210">
      <w:bodyDiv w:val="1"/>
      <w:marLeft w:val="0"/>
      <w:marRight w:val="0"/>
      <w:marTop w:val="0"/>
      <w:marBottom w:val="0"/>
      <w:divBdr>
        <w:top w:val="none" w:sz="0" w:space="0" w:color="auto"/>
        <w:left w:val="none" w:sz="0" w:space="0" w:color="auto"/>
        <w:bottom w:val="none" w:sz="0" w:space="0" w:color="auto"/>
        <w:right w:val="none" w:sz="0" w:space="0" w:color="auto"/>
      </w:divBdr>
    </w:div>
    <w:div w:id="1974211314">
      <w:bodyDiv w:val="1"/>
      <w:marLeft w:val="0"/>
      <w:marRight w:val="0"/>
      <w:marTop w:val="0"/>
      <w:marBottom w:val="0"/>
      <w:divBdr>
        <w:top w:val="none" w:sz="0" w:space="0" w:color="auto"/>
        <w:left w:val="none" w:sz="0" w:space="0" w:color="auto"/>
        <w:bottom w:val="none" w:sz="0" w:space="0" w:color="auto"/>
        <w:right w:val="none" w:sz="0" w:space="0" w:color="auto"/>
      </w:divBdr>
    </w:div>
    <w:div w:id="2070567034">
      <w:bodyDiv w:val="1"/>
      <w:marLeft w:val="0"/>
      <w:marRight w:val="0"/>
      <w:marTop w:val="0"/>
      <w:marBottom w:val="0"/>
      <w:divBdr>
        <w:top w:val="none" w:sz="0" w:space="0" w:color="auto"/>
        <w:left w:val="none" w:sz="0" w:space="0" w:color="auto"/>
        <w:bottom w:val="none" w:sz="0" w:space="0" w:color="auto"/>
        <w:right w:val="none" w:sz="0" w:space="0" w:color="auto"/>
      </w:divBdr>
    </w:div>
    <w:div w:id="21044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Bor01</b:Tag>
    <b:SourceType>JournalArticle</b:SourceType>
    <b:Guid>{DD9E56EF-C24D-4DCA-B05D-3A5A0B106F1E}</b:Guid>
    <b:Author>
      <b:Author>
        <b:NameList>
          <b:Person>
            <b:Last>Borio</b:Last>
            <b:First>Claudio</b:First>
          </b:Person>
          <b:Person>
            <b:Last>Drehmann</b:Last>
            <b:First>Mathias</b:First>
          </b:Person>
          <b:Person>
            <b:Last>Xia</b:Last>
            <b:First>Dora</b:First>
          </b:Person>
        </b:NameList>
      </b:Author>
    </b:Author>
    <b:Title>Procyclicality of financial systems and financial stability</b:Title>
    <b:JournalName>BIS Papers</b:JournalName>
    <b:Year>2001</b:Year>
    <b:Pages>1-57</b:Pages>
    <b:RefOrder>1</b:RefOrder>
  </b:Source>
  <b:Source>
    <b:Tag>Mir15</b:Tag>
    <b:SourceType>JournalArticle</b:SourceType>
    <b:Guid>{49658D7E-0084-4B47-AFE6-A1C6EB707024}</b:Guid>
    <b:Author>
      <b:Author>
        <b:NameList>
          <b:Person>
            <b:Last>Miranda-Agrippino</b:Last>
            <b:First>Silvia</b:First>
          </b:Person>
          <b:Person>
            <b:Last>Reey</b:Last>
            <b:First>Helene</b:First>
          </b:Person>
        </b:NameList>
      </b:Author>
    </b:Author>
    <b:Title>The global financial cycle</b:Title>
    <b:JournalName>NBER Working Paper Series</b:JournalName>
    <b:Year>2015</b:Year>
    <b:Pages>21-22</b:Pages>
    <b:RefOrder>2</b:RefOrder>
  </b:Source>
  <b:Source>
    <b:Tag>Dre12</b:Tag>
    <b:SourceType>JournalArticle</b:SourceType>
    <b:Guid>{4A0A60E4-5AD2-4E2C-896F-0460871146FB}</b:Guid>
    <b:Author>
      <b:Author>
        <b:NameList>
          <b:Person>
            <b:Last>Drehman</b:Last>
            <b:First>M</b:First>
          </b:Person>
          <b:Person>
            <b:Last>al</b:Last>
            <b:First>et</b:First>
          </b:Person>
        </b:NameList>
      </b:Author>
    </b:Author>
    <b:Title>Measuring financial cycles</b:Title>
    <b:JournalName>BIS Quarterly Review</b:JournalName>
    <b:Year>2012</b:Year>
    <b:Pages>1-36</b:Pages>
    <b:RefOrder>3</b:RefOrder>
  </b:Source>
  <b:Source>
    <b:Tag>Cer19</b:Tag>
    <b:SourceType>JournalArticle</b:SourceType>
    <b:Guid>{59D6AD1D-F49D-4C3F-BF37-8646177AB71B}</b:Guid>
    <b:Author>
      <b:Author>
        <b:NameList>
          <b:Person>
            <b:Last>Ceratti</b:Last>
            <b:First>E</b:First>
          </b:Person>
          <b:Person>
            <b:Last>al.</b:Last>
            <b:First>et</b:First>
          </b:Person>
        </b:NameList>
      </b:Author>
    </b:Author>
    <b:Title>Drivers of capital flows and financial conditions.</b:Title>
    <b:JournalName>journal of Financial Stability</b:JournalName>
    <b:Year>1019</b:Year>
    <b:Pages>43</b:Pages>
    <b:RefOrder>4</b:RefOrder>
  </b:Source>
  <b:Source>
    <b:Tag>Ald20</b:Tag>
    <b:SourceType>JournalArticle</b:SourceType>
    <b:Guid>{96895C05-5C03-40B1-A90E-AB2BF8D1BA9D}</b:Guid>
    <b:Author>
      <b:Author>
        <b:NameList>
          <b:Person>
            <b:Last>Aldasoro</b:Last>
            <b:First>I</b:First>
          </b:Person>
          <b:Person>
            <b:Last>al.</b:Last>
            <b:First>et</b:First>
          </b:Person>
        </b:NameList>
      </b:Author>
    </b:Author>
    <b:Title>Global and Financial Domestic Cycle</b:Title>
    <b:JournalName>NBER Working Paper Series</b:JournalName>
    <b:Year>2020</b:Year>
    <b:Pages>51</b:Pages>
    <b:RefOrder>5</b:RefOrder>
  </b:Source>
  <b:Source>
    <b:Tag>Oma19</b:Tag>
    <b:SourceType>JournalArticle</b:SourceType>
    <b:Guid>{564669ED-18C0-4DD8-BB1C-A50B87A45C5F}</b:Guid>
    <b:Author>
      <b:Author>
        <b:NameList>
          <b:Person>
            <b:Last>Oman</b:Last>
            <b:First>W.</b:First>
          </b:Person>
        </b:NameList>
      </b:Author>
    </b:Author>
    <b:Title>The synchronization of business cycles and financial cycles in the Euro area.</b:Title>
    <b:JournalName> International Journal of Central Banking.</b:JournalName>
    <b:Year>2019</b:Year>
    <b:Pages>1-55</b:Pages>
    <b:RefOrder>6</b:RefOrder>
  </b:Source>
  <b:Source>
    <b:Tag>Bor14</b:Tag>
    <b:SourceType>JournalArticle</b:SourceType>
    <b:Guid>{76A08BE2-8186-46CB-AD34-4C0D954E37C8}</b:Guid>
    <b:Author>
      <b:Author>
        <b:NameList>
          <b:Person>
            <b:Last>Borio</b:Last>
            <b:First>C.</b:First>
          </b:Person>
        </b:NameList>
      </b:Author>
    </b:Author>
    <b:Title>The financial cycle and macroeconomics: What have we learnt?</b:Title>
    <b:JournalName>Journal of Banking &amp; Finance</b:JournalName>
    <b:Year>2014</b:Year>
    <b:Pages>182-198</b:Pages>
    <b:RefOrder>7</b:RefOrder>
  </b:Source>
  <b:Source>
    <b:Tag>Cla11</b:Tag>
    <b:SourceType>JournalArticle</b:SourceType>
    <b:Guid>{B69B7015-204C-402D-9FBC-1E6B2946A629}</b:Guid>
    <b:Author>
      <b:Author>
        <b:NameList>
          <b:Person>
            <b:Last>Claessens</b:Last>
            <b:First>S</b:First>
          </b:Person>
          <b:Person>
            <b:Last>Kose</b:Last>
          </b:Person>
          <b:Person>
            <b:Last>Terrones.</b:Last>
          </b:Person>
        </b:NameList>
      </b:Author>
    </b:Author>
    <b:Title>How do business and financial cycles interact? </b:Title>
    <b:JournalName>IMF Working Paper</b:JournalName>
    <b:Year>2011</b:Year>
    <b:Pages>12-22</b:Pages>
    <b:RefOrder>8</b:RefOrder>
  </b:Source>
  <b:Source>
    <b:Tag>Ber99</b:Tag>
    <b:SourceType>Book</b:SourceType>
    <b:Guid>{9220FFFD-B32D-4F87-B56B-F33BC1DCF2F3}</b:Guid>
    <b:Author>
      <b:Author>
        <b:NameList>
          <b:Person>
            <b:Last>Bernanke</b:Last>
            <b:First>B</b:First>
          </b:Person>
          <b:Person>
            <b:Last>Gertler</b:Last>
            <b:First>M</b:First>
          </b:Person>
          <b:Person>
            <b:Last>Gilchrist</b:Last>
            <b:First>S.</b:First>
          </b:Person>
        </b:NameList>
      </b:Author>
    </b:Author>
    <b:Title>The financial accelerator in a quantitative business cycle framework.</b:Title>
    <b:Year>1999</b:Year>
    <b:City>Chicago</b:City>
    <b:Publisher>Handbook of Macroeconomics.</b:Publisher>
    <b:RefOrder>9</b:RefOrder>
  </b:Source>
  <b:Source>
    <b:Tag>Has20</b:Tag>
    <b:SourceType>JournalArticle</b:SourceType>
    <b:Guid>{B666FDEE-AC48-4F40-9690-438364DF0479}</b:Guid>
    <b:Author>
      <b:Author>
        <b:NameList>
          <b:Person>
            <b:Last>Hasan</b:Last>
            <b:First>M</b:First>
          </b:Person>
          <b:Person>
            <b:Last>Islam</b:Last>
            <b:First>M.N.</b:First>
          </b:Person>
        </b:NameList>
      </b:Author>
    </b:Author>
    <b:Title>Exchange rate volatility and economic growth in Bangladesh.</b:Title>
    <b:Year>2020</b:Year>
    <b:JournalName> Bangladesh Development Studies</b:JournalName>
    <b:Pages>57-74</b:Pages>
    <b:RefOrder>10</b:RefOrder>
  </b:Source>
</b:Sources>
</file>

<file path=customXml/itemProps1.xml><?xml version="1.0" encoding="utf-8"?>
<ds:datastoreItem xmlns:ds="http://schemas.openxmlformats.org/officeDocument/2006/customXml" ds:itemID="{3B5A350B-8E0E-427C-9720-B2FE7A49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Tomal Abbasi</dc:creator>
  <cp:keywords/>
  <dc:description/>
  <cp:lastModifiedBy>Tomal Abbasi</cp:lastModifiedBy>
  <cp:revision>4</cp:revision>
  <dcterms:created xsi:type="dcterms:W3CDTF">2025-01-24T17:22:00Z</dcterms:created>
  <dcterms:modified xsi:type="dcterms:W3CDTF">2025-01-26T11:18:00Z</dcterms:modified>
</cp:coreProperties>
</file>