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4"/>
        </w:rPr>
        <w:t>Analyse des politiques IAM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757"/>
        <w:gridCol w:w="2757"/>
        <w:gridCol w:w="2757"/>
        <w:gridCol w:w="2757"/>
      </w:tblGrid>
      <w:tr>
        <w:trPr>
          <w:tblHeader w:val="true"/>
        </w:trPr>
        <w:tc>
          <w:tcPr>
            <w:tcW w:type="dxa" w:w="1037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3096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Constats à la lecture</w:t>
            </w:r>
          </w:p>
        </w:tc>
        <w:tc>
          <w:tcPr>
            <w:tcW w:type="dxa" w:w="3053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Constats de l’outil</w:t>
            </w:r>
          </w:p>
        </w:tc>
        <w:tc>
          <w:tcPr>
            <w:tcW w:type="dxa" w:w="3701"/>
            <w:shd w:fill="17365D"/>
            <w:tcMar>
              <w:top w:w="120" w:type="dxa"/>
              <w:start w:w="105" w:type="dxa"/>
              <w:bottom w:w="120" w:type="dxa"/>
              <w:end w:w="10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Correction proposée</w:t>
            </w:r>
          </w:p>
        </w:tc>
      </w:tr>
      <w:tr>
        <w:trPr>
          <w:cantSplit/>
        </w:trPr>
        <w:tc>
          <w:tcPr>
            <w:tcW w:type="dxa" w:w="103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a.json</w:t>
            </w:r>
          </w:p>
        </w:tc>
        <w:tc>
          <w:tcPr>
            <w:tcW w:type="dxa" w:w="30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La politique autorise toutes les actions AWS avec "Action": "*".</w:t>
            </w:r>
          </w:p>
          <w:p>
            <w:pPr>
              <w:spacing w:after="8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Elle s’applique à toutes les ressources avec "Resource": "*".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Elle accorde donc des droits proches d’un administrateur, sans limitation de service, de ressource ni de condition. Le principe du moindre privilège n’est pas respecté.</w:t>
            </w:r>
          </w:p>
        </w:tc>
        <w:tc>
          <w:tcPr>
            <w:tcW w:type="dxa" w:w="3053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Commande parliament standard : aucun constat affiché.</w:t>
            </w:r>
          </w:p>
          <w:p>
            <w:pPr>
              <w:spacing w:after="8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Avec les community auditors et un seuil HIGH : 22 constats HIGH de type Privilege escalation.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Les scénarios signalés couvrent notamment la création d’identifiants IAM, la modification ou l’attachement de politiques, iam:PassRole avec plusieurs services, et la modification de fonctions Lambda.</w:t>
            </w:r>
          </w:p>
        </w:tc>
        <w:tc>
          <w:tcPr>
            <w:tcW w:type="dxa" w:w="370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Remplacer les deux jokers par la liste exacte des actions et des ressources nécessaires à l’équipe.</w:t>
            </w:r>
          </w:p>
          <w:p>
            <w:pPr>
              <w:spacing w:after="8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Pour un accès au bucket acme-reports, séparer s3:ListBucket sur arn:aws:s3:::acme-reports et les actions sur les objets, par exemple s3:GetObject et s3:PutObject sur arn:aws:s3:::acme-reports/*.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Retirer toutes les permissions IAM et de délégation de rôle qui ne sont pas indispensables, puis ajouter des conditions si le contexte d’utilisation le permet.</w:t>
            </w:r>
          </w:p>
        </w:tc>
      </w:tr>
      <w:tr>
        <w:trPr>
          <w:cantSplit/>
        </w:trPr>
        <w:tc>
          <w:tcPr>
            <w:tcW w:type="dxa" w:w="1037"/>
            <w:shd w:fill="F2F6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b.json</w:t>
            </w:r>
          </w:p>
        </w:tc>
        <w:tc>
          <w:tcPr>
            <w:tcW w:type="dxa" w:w="3096"/>
            <w:shd w:fill="F2F6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s3:GetObject et s3:PutObject visent l’ARN du bucket, alors que ces actions portent sur des objets. L’ARN doit donc se terminer par /*.</w:t>
            </w:r>
          </w:p>
          <w:p>
            <w:pPr>
              <w:spacing w:after="8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iam:PassRole est autorisé sur "Resource": "*", ce qui permet de transmettre n’importe quel rôle IAM à un service compatible.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Cette délégation trop large peut faciliter une escalade de privilèges si d’autres actions permettent de lancer un service avec un rôle plus puissant.</w:t>
            </w:r>
          </w:p>
        </w:tc>
        <w:tc>
          <w:tcPr>
            <w:tcW w:type="dxa" w:w="3053"/>
            <w:shd w:fill="F2F6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MEDIUM : aucune ressource ne correspond à s3:GetObject et s3:PutObject ; Parliament attend un ARN d’objet de la forme arn:*:s3:::*/*.</w:t>
            </w:r>
          </w:p>
          <w:p>
            <w:pPr>
              <w:spacing w:after="8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LOW : utilisation inutile de Resource * pour iam:PassRole.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Avec les community auditors et un seuil HIGH : aucun constat affiché. Cela ne rend pas la politique sûre, car les problèmes trouvés sont de gravité MEDIUM et LOW.</w:t>
            </w:r>
          </w:p>
        </w:tc>
        <w:tc>
          <w:tcPr>
            <w:tcW w:type="dxa" w:w="3701"/>
            <w:shd w:fill="F2F6FA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Remplacer la ressource S3 par arn:aws:s3:::acme-reports/* pour les actions GetObject et PutObject.</w:t>
            </w:r>
          </w:p>
          <w:p>
            <w:pPr>
              <w:spacing w:after="8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Supprimer iam:PassRole s’il n’est pas nécessaire. Sinon, le placer dans une instruction distincte et limiter Resource à l’ARN exact du rôle autorisé, par exemple arn:aws:iam::&lt;ID_COMPTE&gt;:role/&lt;ROLE_AUTORISE&gt;.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Ajouter si possible une condition iam:PassedToService afin de limiter le service auquel le rôle peut être transmis.</w:t>
            </w:r>
          </w:p>
        </w:tc>
      </w:tr>
      <w:tr>
        <w:trPr>
          <w:cantSplit/>
        </w:trPr>
        <w:tc>
          <w:tcPr>
            <w:tcW w:type="dxa" w:w="1037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ptos" w:hAnsi="Aptos"/>
                <w:b/>
                <w:color w:val="17365D"/>
                <w:sz w:val="19"/>
              </w:rPr>
              <w:t>c.json</w:t>
            </w:r>
          </w:p>
        </w:tc>
        <w:tc>
          <w:tcPr>
            <w:tcW w:type="dxa" w:w="3096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Une seule instruction mélange une action sur le bucket, une action sur les objets et une action IAM, alors que ces actions exigent des types de ressources différents.</w:t>
            </w:r>
          </w:p>
          <w:p>
            <w:pPr>
              <w:spacing w:after="8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La présence de "*" dans la liste Resource donne une portée globale aux actions compatibles et annule l’effet restrictif des deux ARN S3.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iam:CreateAccessKey est particulièrement sensible : la création d’une clé pour un autre utilisateur peut permettre d’utiliser ses privilèges.</w:t>
            </w:r>
          </w:p>
        </w:tc>
        <w:tc>
          <w:tcPr>
            <w:tcW w:type="dxa" w:w="3053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Commande parliament standard : LOW pour l’utilisation inutile de Resource * avec iam:CreateAccessKey, s3:GetObject et s3:ListBucket.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Avec les community auditors et un seuil HIGH : un constat HIGH de type Privilege escalation pour iam:CreateAccessKey.</w:t>
            </w:r>
          </w:p>
        </w:tc>
        <w:tc>
          <w:tcPr>
            <w:tcW w:type="dxa" w:w="3701"/>
            <w:shd w:fill="FFFFFF"/>
            <w:tcMar>
              <w:top w:w="95" w:type="dxa"/>
              <w:start w:w="105" w:type="dxa"/>
              <w:bottom w:w="95" w:type="dxa"/>
              <w:end w:w="105" w:type="dxa"/>
            </w:tcMar>
            <w:vAlign w:val="center"/>
          </w:tcPr>
          <w:p>
            <w:pPr>
              <w:spacing w:after="80" w:line="254" w:lineRule="auto"/>
              <w:ind w:left="173" w:hanging="144"/>
              <w:jc w:val="left"/>
            </w:pPr>
            <w:r/>
            <w:r>
              <w:rPr>
                <w:rFonts w:ascii="Aptos" w:hAnsi="Aptos"/>
                <w:b w:val="0"/>
                <w:color w:val="202020"/>
                <w:sz w:val="18"/>
              </w:rPr>
              <w:t>• Créer des instructions séparées : s3:ListBucket sur arn:aws:s3:::acme-reports, puis s3:GetObject sur arn:aws:s3:::acme-reports/*.</w:t>
            </w:r>
          </w:p>
          <w:p>
            <w:pPr>
              <w:spacing w:after="8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Supprimer iam:CreateAccessKey si cette permission n’est pas indispensable.</w:t>
            </w:r>
          </w:p>
          <w:p>
            <w:pPr>
              <w:spacing w:after="0" w:line="254" w:lineRule="auto"/>
              <w:ind w:left="173" w:hanging="144"/>
              <w:jc w:val="left"/>
            </w:pPr>
            <w:r>
              <w:rPr>
                <w:rFonts w:ascii="Aptos" w:hAnsi="Aptos"/>
                <w:b w:val="0"/>
                <w:color w:val="202020"/>
                <w:sz w:val="18"/>
              </w:rPr>
              <w:t>• Si elle est requise, l’isoler dans une instruction distincte, limiter Resource à l’ARN exact de l’utilisateur IAM concerné et encadrer strictement son attribution. Ne pas conserver Resource *.</w:t>
            </w:r>
          </w:p>
        </w:tc>
      </w:tr>
    </w:tbl>
    <w:sectPr w:rsidR="00FC693F" w:rsidRPr="0006063C" w:rsidSect="00034616">
      <w:pgSz w:w="12240" w:h="15840"/>
      <w:pgMar w:top="691" w:right="605" w:bottom="691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pBdr>
        <w:top w:val="nil"/>
        <w:left w:val="nil"/>
        <w:bottom w:val="nil"/>
        <w:right w:val="nil"/>
        <w:between w:val="nil"/>
        <w:bar w:val="nil"/>
      </w:pBdr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des politiques IAM</dc:title>
  <dc:subject>Comparaison des politiques a.json b.json et c.json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