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266" w:rsidRPr="00232E8A" w:rsidRDefault="00C90A28" w:rsidP="00232E8A">
      <w:pPr>
        <w:jc w:val="center"/>
        <w:rPr>
          <w:b/>
          <w:color w:val="808080" w:themeColor="background1" w:themeShade="80"/>
          <w:sz w:val="40"/>
          <w:szCs w:val="40"/>
        </w:rPr>
      </w:pPr>
      <w:r>
        <w:rPr>
          <w:b/>
          <w:color w:val="808080" w:themeColor="background1" w:themeShade="80"/>
          <w:sz w:val="40"/>
          <w:szCs w:val="40"/>
        </w:rPr>
        <w:t>MAPA DE KARNAUGH</w:t>
      </w:r>
    </w:p>
    <w:p w:rsidR="00C90A28" w:rsidRPr="00C90A28" w:rsidRDefault="00C90A28" w:rsidP="00C90A28">
      <w:pPr>
        <w:rPr>
          <w:b/>
          <w:color w:val="808080" w:themeColor="background1" w:themeShade="80"/>
          <w:sz w:val="28"/>
          <w:szCs w:val="28"/>
        </w:rPr>
      </w:pPr>
      <w:bookmarkStart w:id="0" w:name="_Toc350838643"/>
      <w:r w:rsidRPr="00C90A28">
        <w:rPr>
          <w:b/>
          <w:color w:val="808080" w:themeColor="background1" w:themeShade="80"/>
          <w:sz w:val="28"/>
          <w:szCs w:val="28"/>
        </w:rPr>
        <w:t>Simplificación de funciones lógicas.</w:t>
      </w:r>
      <w:bookmarkEnd w:id="0"/>
    </w:p>
    <w:p w:rsidR="00C90A28" w:rsidRPr="00C90A28" w:rsidRDefault="00C90A28" w:rsidP="00C90A28">
      <w:pPr>
        <w:jc w:val="both"/>
      </w:pPr>
      <w:r w:rsidRPr="00C90A28">
        <w:t>La simplificación de funciones lógicas tiende a obtener una función reducida con un número mínimo de términos con mínima cantidad  de variables cada uno.</w:t>
      </w:r>
    </w:p>
    <w:p w:rsidR="00C90A28" w:rsidRPr="00C90A28" w:rsidRDefault="00C90A28" w:rsidP="00C90A28">
      <w:pPr>
        <w:jc w:val="both"/>
      </w:pPr>
      <w:r w:rsidRPr="00C90A28">
        <w:t>Para la simplificación se utilizan los postulados ya vistos.</w:t>
      </w:r>
    </w:p>
    <w:p w:rsidR="00C90A28" w:rsidRPr="00C90A28" w:rsidRDefault="00C90A28" w:rsidP="00C90A28">
      <w:pPr>
        <w:jc w:val="both"/>
      </w:pPr>
      <w:r w:rsidRPr="00C90A28">
        <w:t>La suma de los productos canónicos adyacentes, es decir que difieren en el valor de una de sus variables, es igual a un solo término que no incluye esa variable.</w:t>
      </w:r>
    </w:p>
    <w:p w:rsidR="00C90A28" w:rsidRPr="00C90A28" w:rsidRDefault="00C90A28" w:rsidP="00C90A28">
      <w:pPr>
        <w:jc w:val="both"/>
      </w:pPr>
      <w:r w:rsidRPr="00C90A28">
        <w:t>En forma equivalente se deduce para el producto de sumas.</w:t>
      </w:r>
    </w:p>
    <w:p w:rsidR="00C90A28" w:rsidRPr="00EB2603" w:rsidRDefault="00C90A28" w:rsidP="00C90A28">
      <w:pPr>
        <w:rPr>
          <w:rFonts w:ascii="Arial" w:hAnsi="Arial" w:cs="Arial"/>
          <w:lang w:val="es-AR"/>
        </w:rPr>
      </w:pPr>
      <w:r w:rsidRPr="00C90A28">
        <w:t xml:space="preserve">Por ejemplo </w:t>
      </w:r>
      <w:r w:rsidRPr="00EB2603">
        <w:rPr>
          <w:rFonts w:ascii="Arial" w:hAnsi="Arial" w:cs="Arial"/>
          <w:lang w:val="es-AR"/>
        </w:rPr>
        <w:object w:dxaOrig="3476" w:dyaOrig="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pt;height:23pt" o:ole="">
            <v:imagedata r:id="rId8" o:title=""/>
          </v:shape>
          <o:OLEObject Type="Embed" ProgID="Visio.Drawing.11" ShapeID="_x0000_i1025" DrawAspect="Content" ObjectID="_1645975358" r:id="rId9"/>
        </w:object>
      </w:r>
      <w:r w:rsidRPr="00EB2603">
        <w:rPr>
          <w:rFonts w:ascii="Arial" w:hAnsi="Arial" w:cs="Arial"/>
          <w:lang w:val="es-AR"/>
        </w:rPr>
        <w:t xml:space="preserve">  </w:t>
      </w:r>
      <w:r w:rsidRPr="00C90A28">
        <w:t>no incluye la variable a.</w:t>
      </w:r>
    </w:p>
    <w:p w:rsidR="00C90A28" w:rsidRPr="00EB2603" w:rsidRDefault="00C90A28" w:rsidP="00C90A28">
      <w:pPr>
        <w:spacing w:after="0" w:line="20" w:lineRule="atLeast"/>
        <w:ind w:left="993"/>
        <w:jc w:val="both"/>
        <w:rPr>
          <w:rFonts w:ascii="Arial" w:hAnsi="Arial" w:cs="Arial"/>
          <w:lang w:val="es-AR"/>
        </w:rPr>
      </w:pPr>
      <w:r w:rsidRPr="00C90A28">
        <w:t>Se demuestra</w:t>
      </w:r>
      <w:r w:rsidRPr="00EB2603">
        <w:rPr>
          <w:rFonts w:ascii="Arial" w:hAnsi="Arial" w:cs="Arial"/>
          <w:lang w:val="es-AR"/>
        </w:rPr>
        <w:t xml:space="preserve">: </w:t>
      </w:r>
      <w:r w:rsidRPr="00EB2603">
        <w:rPr>
          <w:rFonts w:ascii="Arial" w:hAnsi="Arial" w:cs="Arial"/>
          <w:lang w:val="es-AR"/>
        </w:rPr>
        <w:object w:dxaOrig="4326" w:dyaOrig="576">
          <v:shape id="_x0000_i1026" type="#_x0000_t75" style="width:186.4pt;height:24.5pt" o:ole="">
            <v:imagedata r:id="rId10" o:title=""/>
          </v:shape>
          <o:OLEObject Type="Embed" ProgID="Visio.Drawing.11" ShapeID="_x0000_i1026" DrawAspect="Content" ObjectID="_1645975359" r:id="rId11"/>
        </w:object>
      </w:r>
    </w:p>
    <w:p w:rsidR="00C90A28" w:rsidRPr="00EB2603" w:rsidRDefault="00C90A28" w:rsidP="00C90A28">
      <w:pPr>
        <w:spacing w:after="0" w:line="20" w:lineRule="atLeast"/>
        <w:ind w:left="993"/>
        <w:jc w:val="both"/>
        <w:rPr>
          <w:rFonts w:ascii="Arial" w:hAnsi="Arial" w:cs="Arial"/>
          <w:lang w:val="es-AR"/>
        </w:rPr>
      </w:pPr>
    </w:p>
    <w:p w:rsidR="00C90A28" w:rsidRPr="00C90A28" w:rsidRDefault="00C90A28" w:rsidP="00C90A28">
      <w:pPr>
        <w:jc w:val="both"/>
      </w:pPr>
      <w:r w:rsidRPr="00C90A28">
        <w:t xml:space="preserve"> Existen métodos gráficos para la representación de funciones que a la vez tiene la facilidad de mostrar los términos adyacentes donde ha cambiado una sola variable y por lo tanto son reducibles, esos son:</w:t>
      </w:r>
    </w:p>
    <w:p w:rsidR="00C90A28" w:rsidRPr="00C90A28" w:rsidRDefault="00C90A28" w:rsidP="00C90A28">
      <w:r w:rsidRPr="00C90A28">
        <w:t>El MAPA DE KARNAUG.</w:t>
      </w:r>
    </w:p>
    <w:p w:rsidR="00C90A28" w:rsidRPr="00C90A28" w:rsidRDefault="00C90A28" w:rsidP="00C90A28">
      <w:r w:rsidRPr="00C90A28">
        <w:t>MAPA DE VEITCH.</w:t>
      </w:r>
    </w:p>
    <w:p w:rsidR="00C90A28" w:rsidRDefault="00C90A28" w:rsidP="00C90A28">
      <w:pPr>
        <w:rPr>
          <w:b/>
          <w:color w:val="808080" w:themeColor="background1" w:themeShade="80"/>
          <w:sz w:val="28"/>
          <w:szCs w:val="28"/>
        </w:rPr>
      </w:pPr>
      <w:bookmarkStart w:id="1" w:name="_Toc350838644"/>
    </w:p>
    <w:p w:rsidR="00C90A28" w:rsidRPr="00C90A28" w:rsidRDefault="00C90A28" w:rsidP="00C90A28">
      <w:pPr>
        <w:rPr>
          <w:b/>
          <w:color w:val="808080" w:themeColor="background1" w:themeShade="80"/>
          <w:sz w:val="28"/>
          <w:szCs w:val="28"/>
        </w:rPr>
      </w:pPr>
      <w:r w:rsidRPr="00C90A28">
        <w:rPr>
          <w:b/>
          <w:color w:val="808080" w:themeColor="background1" w:themeShade="80"/>
          <w:sz w:val="28"/>
          <w:szCs w:val="28"/>
        </w:rPr>
        <w:t>Método Gráfico de Karnaugh.</w:t>
      </w:r>
      <w:bookmarkEnd w:id="1"/>
    </w:p>
    <w:p w:rsidR="00C90A28" w:rsidRPr="00C90A28" w:rsidRDefault="00C90A28" w:rsidP="00C90A28">
      <w:pPr>
        <w:jc w:val="both"/>
      </w:pPr>
      <w:r w:rsidRPr="00C90A28">
        <w:t>Un mapa de Karnaugh se construye con celdas, donde en cada celda se representa una combinación de variables en binario que forman los términos de suma o producto canónico, esto es, 2n celdas, siendo n el número de variables, para una función completa.</w:t>
      </w:r>
    </w:p>
    <w:p w:rsidR="00C90A28" w:rsidRPr="00C90A28" w:rsidRDefault="00C90A28" w:rsidP="00C90A28">
      <w:pPr>
        <w:jc w:val="both"/>
      </w:pPr>
      <w:r w:rsidRPr="00C90A28">
        <w:t>Luego cada celda es la intersección de la fila y la columna, cada una de las cuales indica un valor determinado de la variable asociada a la misma, para el caso de tres variables será:</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824"/>
        <w:gridCol w:w="3896"/>
      </w:tblGrid>
      <w:tr w:rsidR="00C90A28" w:rsidRPr="00EB2603" w:rsidTr="00C90A28">
        <w:trPr>
          <w:jc w:val="center"/>
        </w:trPr>
        <w:tc>
          <w:tcPr>
            <w:tcW w:w="4824" w:type="dxa"/>
          </w:tcPr>
          <w:p w:rsidR="00C90A28" w:rsidRPr="00EB2603" w:rsidRDefault="00C90A28" w:rsidP="00B62B94">
            <w:pPr>
              <w:spacing w:after="0" w:line="20" w:lineRule="atLeast"/>
              <w:jc w:val="center"/>
              <w:rPr>
                <w:rFonts w:ascii="Arial" w:hAnsi="Arial" w:cs="Arial"/>
                <w:lang w:val="es-AR"/>
              </w:rPr>
            </w:pPr>
            <w:r w:rsidRPr="00EB2603">
              <w:rPr>
                <w:rFonts w:ascii="Arial" w:hAnsi="Arial" w:cs="Arial"/>
              </w:rPr>
              <w:object w:dxaOrig="4598" w:dyaOrig="519">
                <v:shape id="_x0000_i1027" type="#_x0000_t75" style="width:189.45pt;height:21.45pt" o:ole="">
                  <v:imagedata r:id="rId12" o:title=""/>
                </v:shape>
                <o:OLEObject Type="Embed" ProgID="Visio.Drawing.11" ShapeID="_x0000_i1027" DrawAspect="Content" ObjectID="_1645975360" r:id="rId13"/>
              </w:object>
            </w:r>
          </w:p>
        </w:tc>
        <w:tc>
          <w:tcPr>
            <w:tcW w:w="3896" w:type="dxa"/>
            <w:vMerge w:val="restart"/>
          </w:tcPr>
          <w:p w:rsidR="00C90A28" w:rsidRPr="00EB2603" w:rsidRDefault="00C90A28" w:rsidP="00C90A28">
            <w:pPr>
              <w:spacing w:after="0" w:line="20" w:lineRule="atLeast"/>
              <w:ind w:left="138"/>
              <w:rPr>
                <w:rFonts w:ascii="Arial" w:hAnsi="Arial" w:cs="Arial"/>
                <w:lang w:val="es-AR"/>
              </w:rPr>
            </w:pPr>
            <w:r w:rsidRPr="00EB2603">
              <w:rPr>
                <w:rFonts w:ascii="Arial" w:hAnsi="Arial" w:cs="Arial"/>
              </w:rPr>
              <w:object w:dxaOrig="3680" w:dyaOrig="2189">
                <v:shape id="_x0000_i1028" type="#_x0000_t75" style="width:157.8pt;height:93.45pt" o:ole="">
                  <v:imagedata r:id="rId14" o:title=""/>
                </v:shape>
                <o:OLEObject Type="Embed" ProgID="Visio.Drawing.11" ShapeID="_x0000_i1028" DrawAspect="Content" ObjectID="_1645975361" r:id="rId15"/>
              </w:object>
            </w:r>
          </w:p>
        </w:tc>
      </w:tr>
      <w:tr w:rsidR="00C90A28" w:rsidRPr="00EB2603" w:rsidTr="00C90A28">
        <w:trPr>
          <w:jc w:val="center"/>
        </w:trPr>
        <w:tc>
          <w:tcPr>
            <w:tcW w:w="4824" w:type="dxa"/>
          </w:tcPr>
          <w:p w:rsidR="00C90A28" w:rsidRPr="00EB2603" w:rsidRDefault="00C90A28" w:rsidP="00B62B94">
            <w:pPr>
              <w:spacing w:after="0" w:line="20" w:lineRule="atLeast"/>
              <w:ind w:left="246"/>
              <w:rPr>
                <w:rFonts w:ascii="Arial" w:hAnsi="Arial" w:cs="Arial"/>
                <w:lang w:val="es-AR"/>
              </w:rPr>
            </w:pPr>
          </w:p>
          <w:p w:rsidR="00C90A28" w:rsidRPr="00C90A28" w:rsidRDefault="00C90A28" w:rsidP="00C90A28">
            <w:r w:rsidRPr="00C90A28">
              <w:t xml:space="preserve">En el mapa se representa con 1 donde la función es válida, analizando cada término. </w:t>
            </w:r>
          </w:p>
          <w:p w:rsidR="00C90A28" w:rsidRPr="00C90A28" w:rsidRDefault="00C90A28" w:rsidP="00C90A28"/>
          <w:p w:rsidR="00C90A28" w:rsidRPr="00C90A28" w:rsidRDefault="00C90A28" w:rsidP="00C90A28">
            <w:r w:rsidRPr="00C90A28">
              <w:t xml:space="preserve">Se asocia con un 1 el valor directo de una variable “a” y con un valor 0 el valor negado de la variable </w:t>
            </w:r>
            <w:r w:rsidRPr="00C90A28">
              <w:object w:dxaOrig="343" w:dyaOrig="416">
                <v:shape id="_x0000_i1029" type="#_x0000_t75" style="width:17.35pt;height:20.95pt" o:ole="">
                  <v:imagedata r:id="rId16" o:title=""/>
                </v:shape>
                <o:OLEObject Type="Embed" ProgID="Visio.Drawing.11" ShapeID="_x0000_i1029" DrawAspect="Content" ObjectID="_1645975362" r:id="rId17"/>
              </w:object>
            </w:r>
            <w:r w:rsidRPr="00C90A28">
              <w:t>, de esta forma cada término puede representarse por un número binario o su equivalente en decimal, Minterm o Maxterm.</w:t>
            </w:r>
          </w:p>
          <w:p w:rsidR="00C90A28" w:rsidRPr="00EB2603" w:rsidRDefault="00C90A28" w:rsidP="00B62B94">
            <w:pPr>
              <w:spacing w:after="0" w:line="20" w:lineRule="atLeast"/>
              <w:ind w:left="246"/>
              <w:jc w:val="both"/>
              <w:rPr>
                <w:rFonts w:ascii="Arial" w:hAnsi="Arial" w:cs="Arial"/>
                <w:lang w:val="es-AR"/>
              </w:rPr>
            </w:pPr>
          </w:p>
        </w:tc>
        <w:tc>
          <w:tcPr>
            <w:tcW w:w="3896" w:type="dxa"/>
            <w:vMerge/>
          </w:tcPr>
          <w:p w:rsidR="00C90A28" w:rsidRPr="00EB2603" w:rsidRDefault="00C90A28" w:rsidP="00B62B94">
            <w:pPr>
              <w:spacing w:after="0" w:line="20" w:lineRule="atLeast"/>
              <w:rPr>
                <w:rFonts w:ascii="Arial" w:hAnsi="Arial" w:cs="Arial"/>
                <w:lang w:val="es-AR"/>
              </w:rPr>
            </w:pPr>
          </w:p>
        </w:tc>
      </w:tr>
    </w:tbl>
    <w:p w:rsidR="00C90A28" w:rsidRPr="00C90A28" w:rsidRDefault="00C90A28" w:rsidP="00C90A28">
      <w:pPr>
        <w:rPr>
          <w:b/>
          <w:color w:val="808080" w:themeColor="background1" w:themeShade="80"/>
          <w:sz w:val="28"/>
          <w:szCs w:val="28"/>
        </w:rPr>
      </w:pPr>
      <w:bookmarkStart w:id="2" w:name="_Toc320561211"/>
      <w:bookmarkStart w:id="3" w:name="_Toc320574654"/>
      <w:bookmarkStart w:id="4" w:name="_Toc320575083"/>
      <w:bookmarkStart w:id="5" w:name="_Toc320634948"/>
      <w:bookmarkStart w:id="6" w:name="_Toc320636269"/>
      <w:bookmarkStart w:id="7" w:name="_Toc320736024"/>
      <w:bookmarkStart w:id="8" w:name="_Toc320786700"/>
      <w:bookmarkStart w:id="9" w:name="_Toc320786870"/>
      <w:bookmarkStart w:id="10" w:name="_Toc320788566"/>
      <w:bookmarkStart w:id="11" w:name="_Toc320789153"/>
      <w:bookmarkStart w:id="12" w:name="_Toc326223570"/>
      <w:bookmarkStart w:id="13" w:name="_Toc327439243"/>
      <w:bookmarkStart w:id="14" w:name="_Toc327455514"/>
      <w:bookmarkStart w:id="15" w:name="_Toc327718318"/>
      <w:bookmarkStart w:id="16" w:name="_Toc327718526"/>
      <w:bookmarkStart w:id="17" w:name="_Toc327718697"/>
      <w:bookmarkStart w:id="18" w:name="_Toc327718867"/>
      <w:bookmarkStart w:id="19" w:name="_Toc327719039"/>
      <w:bookmarkStart w:id="20" w:name="_Toc327719210"/>
      <w:bookmarkStart w:id="21" w:name="_Toc327719381"/>
      <w:bookmarkStart w:id="22" w:name="_Toc327719552"/>
      <w:bookmarkStart w:id="23" w:name="_Toc327722497"/>
      <w:bookmarkStart w:id="24" w:name="_Toc327722669"/>
      <w:bookmarkStart w:id="25" w:name="_Toc327722843"/>
      <w:bookmarkStart w:id="26" w:name="_Toc329080356"/>
      <w:bookmarkStart w:id="27" w:name="_Toc329248776"/>
      <w:bookmarkStart w:id="28" w:name="_Toc329250290"/>
      <w:bookmarkStart w:id="29" w:name="_Toc329257868"/>
      <w:bookmarkStart w:id="30" w:name="_Toc329258047"/>
      <w:bookmarkStart w:id="31" w:name="_Toc329287676"/>
      <w:bookmarkStart w:id="32" w:name="_Toc329287857"/>
      <w:bookmarkStart w:id="33" w:name="_Toc329336190"/>
      <w:bookmarkStart w:id="34" w:name="_Toc329336373"/>
      <w:bookmarkStart w:id="35" w:name="_Toc350835982"/>
      <w:bookmarkStart w:id="36" w:name="_Toc350838645"/>
      <w:bookmarkStart w:id="37" w:name="_Toc320561212"/>
      <w:bookmarkStart w:id="38" w:name="_Toc320574655"/>
      <w:bookmarkStart w:id="39" w:name="_Toc320575084"/>
      <w:bookmarkStart w:id="40" w:name="_Toc320634949"/>
      <w:bookmarkStart w:id="41" w:name="_Toc320636270"/>
      <w:bookmarkStart w:id="42" w:name="_Toc320736025"/>
      <w:bookmarkStart w:id="43" w:name="_Toc320786701"/>
      <w:bookmarkStart w:id="44" w:name="_Toc320786871"/>
      <w:bookmarkStart w:id="45" w:name="_Toc320788567"/>
      <w:bookmarkStart w:id="46" w:name="_Toc320789154"/>
      <w:bookmarkStart w:id="47" w:name="_Toc326223571"/>
      <w:bookmarkStart w:id="48" w:name="_Toc327439244"/>
      <w:bookmarkStart w:id="49" w:name="_Toc327455515"/>
      <w:bookmarkStart w:id="50" w:name="_Toc327718319"/>
      <w:bookmarkStart w:id="51" w:name="_Toc327718527"/>
      <w:bookmarkStart w:id="52" w:name="_Toc327718698"/>
      <w:bookmarkStart w:id="53" w:name="_Toc327718868"/>
      <w:bookmarkStart w:id="54" w:name="_Toc327719040"/>
      <w:bookmarkStart w:id="55" w:name="_Toc327719211"/>
      <w:bookmarkStart w:id="56" w:name="_Toc327719382"/>
      <w:bookmarkStart w:id="57" w:name="_Toc327719553"/>
      <w:bookmarkStart w:id="58" w:name="_Toc327722498"/>
      <w:bookmarkStart w:id="59" w:name="_Toc327722670"/>
      <w:bookmarkStart w:id="60" w:name="_Toc327722844"/>
      <w:bookmarkStart w:id="61" w:name="_Toc329080357"/>
      <w:bookmarkStart w:id="62" w:name="_Toc329248777"/>
      <w:bookmarkStart w:id="63" w:name="_Toc329250291"/>
      <w:bookmarkStart w:id="64" w:name="_Toc329257869"/>
      <w:bookmarkStart w:id="65" w:name="_Toc329258048"/>
      <w:bookmarkStart w:id="66" w:name="_Toc329287677"/>
      <w:bookmarkStart w:id="67" w:name="_Toc329287858"/>
      <w:bookmarkStart w:id="68" w:name="_Toc329336191"/>
      <w:bookmarkStart w:id="69" w:name="_Toc329336374"/>
      <w:bookmarkStart w:id="70" w:name="_Toc350835983"/>
      <w:bookmarkStart w:id="71" w:name="_Toc350838646"/>
      <w:bookmarkStart w:id="72" w:name="_Toc35083864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C90A28">
        <w:rPr>
          <w:b/>
          <w:color w:val="808080" w:themeColor="background1" w:themeShade="80"/>
          <w:sz w:val="28"/>
          <w:szCs w:val="28"/>
        </w:rPr>
        <w:lastRenderedPageBreak/>
        <w:t>Proceso para minimizar por el Mapa de Karnaugh</w:t>
      </w:r>
      <w:bookmarkEnd w:id="72"/>
    </w:p>
    <w:p w:rsidR="00C90A28" w:rsidRPr="00EB2603" w:rsidRDefault="00C90A28" w:rsidP="00C90A28">
      <w:pPr>
        <w:spacing w:after="0" w:line="20" w:lineRule="atLeast"/>
        <w:ind w:left="1134"/>
        <w:rPr>
          <w:rFonts w:ascii="Arial" w:hAnsi="Arial" w:cs="Arial"/>
          <w:lang w:val="es-AR"/>
        </w:rPr>
      </w:pPr>
    </w:p>
    <w:p w:rsidR="00C90A28" w:rsidRPr="00C90A28" w:rsidRDefault="00C90A28" w:rsidP="00C90A28">
      <w:r w:rsidRPr="00C90A28">
        <w:t xml:space="preserve"> Los pasos para minimizar una función con el mapa de Karnaugh son:</w:t>
      </w:r>
    </w:p>
    <w:p w:rsidR="00C90A28" w:rsidRPr="00EB2603" w:rsidRDefault="00C90A28" w:rsidP="00C90A28">
      <w:pPr>
        <w:spacing w:after="0" w:line="20" w:lineRule="atLeast"/>
        <w:ind w:left="1134"/>
        <w:rPr>
          <w:rFonts w:ascii="Arial" w:hAnsi="Arial" w:cs="Arial"/>
          <w:lang w:val="es-AR"/>
        </w:rPr>
      </w:pP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4"/>
      </w:tblGrid>
      <w:tr w:rsidR="00C90A28" w:rsidRPr="00EB2603" w:rsidTr="00B62B94">
        <w:tc>
          <w:tcPr>
            <w:tcW w:w="8505" w:type="dxa"/>
          </w:tcPr>
          <w:p w:rsidR="00C90A28" w:rsidRPr="00C90A28" w:rsidRDefault="00C90A28" w:rsidP="00C90A28">
            <w:r w:rsidRPr="00C90A28">
              <w:t>Si se tiene una función con términos incompletos, se deben completar, utilizando los postulados ya vistos.</w:t>
            </w:r>
          </w:p>
          <w:p w:rsidR="00C90A28" w:rsidRPr="00C90A28" w:rsidRDefault="00C90A28" w:rsidP="00C90A28"/>
          <w:p w:rsidR="00C90A28" w:rsidRPr="00C90A28" w:rsidRDefault="00C90A28" w:rsidP="00C90A28">
            <w:r w:rsidRPr="00C90A28">
              <w:t>Representar la función en el Mapa.</w:t>
            </w:r>
          </w:p>
          <w:p w:rsidR="00C90A28" w:rsidRPr="00C90A28" w:rsidRDefault="00C90A28" w:rsidP="00C90A28"/>
          <w:p w:rsidR="00C90A28" w:rsidRPr="00C90A28" w:rsidRDefault="00C90A28" w:rsidP="00C90A28">
            <w:r w:rsidRPr="00C90A28">
              <w:t>Agrupar encerrando entre lazos los términos, todos los términos adyacentes tratando de que los lazos siempre abarque la mayor cantidad de términos posibles.</w:t>
            </w:r>
          </w:p>
          <w:p w:rsidR="00C90A28" w:rsidRPr="00C90A28" w:rsidRDefault="00C90A28" w:rsidP="00C90A28"/>
          <w:p w:rsidR="00C90A28" w:rsidRPr="00C90A28" w:rsidRDefault="00C90A28" w:rsidP="00C90A28">
            <w:r w:rsidRPr="00C90A28">
              <w:t>El número de términos encerrados es siempre una potencia de 2. Así por ejemplo en un mapa de 4 variables podríamos obtener lo siguiente.</w:t>
            </w:r>
          </w:p>
          <w:p w:rsidR="00C90A28" w:rsidRPr="00C90A28" w:rsidRDefault="00C90A28" w:rsidP="00C90A28">
            <w:r w:rsidRPr="00C90A28">
              <w:t xml:space="preserve">Agrupo de a 8 </w:t>
            </w:r>
            <w:r w:rsidRPr="00C90A28">
              <w:sym w:font="Wingdings" w:char="F0E0"/>
            </w:r>
            <w:r w:rsidRPr="00C90A28">
              <w:t xml:space="preserve"> Obtengo 1 Sola variable. Si no puedo </w:t>
            </w:r>
            <w:r w:rsidRPr="00C90A28">
              <w:sym w:font="Wingdings" w:char="F0E0"/>
            </w:r>
          </w:p>
          <w:p w:rsidR="00C90A28" w:rsidRPr="00C90A28" w:rsidRDefault="00C90A28" w:rsidP="00C90A28">
            <w:r w:rsidRPr="00C90A28">
              <w:t xml:space="preserve">Agrupo de a 4 </w:t>
            </w:r>
            <w:r w:rsidRPr="00C90A28">
              <w:sym w:font="Wingdings" w:char="F0E0"/>
            </w:r>
            <w:r w:rsidRPr="00C90A28">
              <w:t xml:space="preserve"> Obtengo 1 Sola variable. Si no puedo </w:t>
            </w:r>
            <w:r w:rsidRPr="00C90A28">
              <w:sym w:font="Wingdings" w:char="F0E0"/>
            </w:r>
          </w:p>
          <w:p w:rsidR="00C90A28" w:rsidRPr="00C90A28" w:rsidRDefault="00C90A28" w:rsidP="00C90A28">
            <w:r w:rsidRPr="00C90A28">
              <w:t>Agrupo de a 2.</w:t>
            </w:r>
            <w:r w:rsidRPr="00C90A28">
              <w:sym w:font="Wingdings" w:char="F0E0"/>
            </w:r>
            <w:r w:rsidRPr="00C90A28">
              <w:t xml:space="preserve">Obtengo 1 Sola variable Si no puedo.  </w:t>
            </w:r>
            <w:r w:rsidRPr="00C90A28">
              <w:sym w:font="Wingdings" w:char="F0E0"/>
            </w:r>
          </w:p>
          <w:p w:rsidR="00C90A28" w:rsidRPr="00C90A28" w:rsidRDefault="00C90A28" w:rsidP="00C90A28">
            <w:r w:rsidRPr="00C90A28">
              <w:t xml:space="preserve">Agrupo de a 1 </w:t>
            </w:r>
            <w:r w:rsidRPr="00C90A28">
              <w:sym w:font="Wingdings" w:char="F0E0"/>
            </w:r>
            <w:r w:rsidRPr="00C90A28">
              <w:t xml:space="preserve"> Obtengo las variables de la función. .</w:t>
            </w:r>
          </w:p>
          <w:p w:rsidR="00C90A28" w:rsidRPr="00C90A28" w:rsidRDefault="00C90A28" w:rsidP="00C90A28"/>
          <w:p w:rsidR="00C90A28" w:rsidRPr="00EB2603" w:rsidRDefault="00C90A28" w:rsidP="00C90A28">
            <w:pPr>
              <w:rPr>
                <w:rFonts w:ascii="Arial" w:hAnsi="Arial" w:cs="Arial"/>
                <w:lang w:val="es-AR"/>
              </w:rPr>
            </w:pPr>
            <w:r w:rsidRPr="00C90A28">
              <w:t>Obtener la función descartando en cada término las variables que cambian de estado.</w:t>
            </w:r>
          </w:p>
        </w:tc>
      </w:tr>
    </w:tbl>
    <w:p w:rsidR="00C90A28" w:rsidRPr="00EB2603" w:rsidRDefault="00C90A28" w:rsidP="00C90A28">
      <w:pPr>
        <w:spacing w:after="0" w:line="20" w:lineRule="atLeast"/>
        <w:rPr>
          <w:rFonts w:ascii="Arial" w:hAnsi="Arial" w:cs="Arial"/>
          <w:lang w:val="es-AR"/>
        </w:rPr>
      </w:pPr>
    </w:p>
    <w:p w:rsidR="00C90A28" w:rsidRPr="00C90A28" w:rsidRDefault="00C90A28" w:rsidP="00C90A28">
      <w:r w:rsidRPr="00C90A28">
        <w:t xml:space="preserve">Para el caso de una función de 4 variables. </w:t>
      </w:r>
    </w:p>
    <w:p w:rsidR="00C90A28" w:rsidRPr="00EB2603" w:rsidRDefault="00C90A28" w:rsidP="00C90A28">
      <w:pPr>
        <w:spacing w:after="0" w:line="20" w:lineRule="atLeast"/>
        <w:rPr>
          <w:rFonts w:ascii="Arial" w:hAnsi="Arial" w:cs="Arial"/>
          <w:lang w:val="es-AR"/>
        </w:rPr>
      </w:pPr>
      <w:r w:rsidRPr="00EB2603">
        <w:rPr>
          <w:rFonts w:ascii="Arial" w:hAnsi="Arial" w:cs="Arial"/>
          <w:lang w:val="es-AR"/>
        </w:rPr>
        <w:object w:dxaOrig="9207" w:dyaOrig="519">
          <v:shape id="_x0000_i1030" type="#_x0000_t75" style="width:405.45pt;height:23pt" o:ole="">
            <v:imagedata r:id="rId18" o:title=""/>
          </v:shape>
          <o:OLEObject Type="Embed" ProgID="Visio.Drawing.11" ShapeID="_x0000_i1030" DrawAspect="Content" ObjectID="_1645975363" r:id="rId19"/>
        </w:object>
      </w:r>
    </w:p>
    <w:p w:rsidR="00C90A28" w:rsidRPr="00C90A28" w:rsidRDefault="00C90A28" w:rsidP="00C90A28"/>
    <w:p w:rsidR="00C90A28" w:rsidRPr="00C90A28" w:rsidRDefault="00C90A28" w:rsidP="00C90A28">
      <w:r w:rsidRPr="00C90A28">
        <w:lastRenderedPageBreak/>
        <w:t>Esta es una función de suma de productos canónicos, ya que todos los términos contienen las cuatro variables, sin embargo la función no es completa, ya que la función completa tendría 24 = 16 términos y esta solo tiene 9.</w:t>
      </w:r>
    </w:p>
    <w:p w:rsidR="00C90A28" w:rsidRPr="00C90A28" w:rsidRDefault="00C90A28" w:rsidP="00C90A28"/>
    <w:p w:rsidR="00C90A28" w:rsidRPr="00C90A28" w:rsidRDefault="00C90A28" w:rsidP="00C90A28">
      <w:r w:rsidRPr="00C90A28">
        <w:t>La función completa de esta estará formada por los siete términos que la misma no tiene para complementaria.</w:t>
      </w:r>
    </w:p>
    <w:p w:rsidR="00C90A28" w:rsidRPr="00EB2603" w:rsidRDefault="00C90A28" w:rsidP="00C90A28">
      <w:pPr>
        <w:spacing w:after="0" w:line="20" w:lineRule="atLeast"/>
        <w:rPr>
          <w:rFonts w:ascii="Arial" w:hAnsi="Arial" w:cs="Arial"/>
          <w:lang w:val="es-AR"/>
        </w:rPr>
      </w:pPr>
      <w:r w:rsidRPr="00EB2603">
        <w:rPr>
          <w:rFonts w:ascii="Arial" w:hAnsi="Arial" w:cs="Arial"/>
        </w:rPr>
        <w:object w:dxaOrig="12895" w:dyaOrig="6966">
          <v:shape id="_x0000_i1031" type="#_x0000_t75" style="width:437.6pt;height:194.55pt" o:ole="">
            <v:imagedata r:id="rId20" o:title=""/>
          </v:shape>
          <o:OLEObject Type="Embed" ProgID="Visio.Drawing.11" ShapeID="_x0000_i1031" DrawAspect="Content" ObjectID="_1645975364" r:id="rId21"/>
        </w:object>
      </w:r>
    </w:p>
    <w:p w:rsidR="00C90A28" w:rsidRPr="00EB2603" w:rsidRDefault="00C90A28" w:rsidP="00C90A28">
      <w:pPr>
        <w:spacing w:after="0" w:line="20" w:lineRule="atLeast"/>
        <w:ind w:left="993"/>
        <w:rPr>
          <w:rFonts w:ascii="Arial" w:hAnsi="Arial" w:cs="Arial"/>
          <w:lang w:val="es-AR"/>
        </w:rPr>
      </w:pPr>
    </w:p>
    <w:p w:rsidR="00C90A28" w:rsidRPr="00C90A28" w:rsidRDefault="00C90A28" w:rsidP="00C90A28">
      <w:r w:rsidRPr="00C90A28">
        <w:t>En el mapa se han encerrado con 5 lazos los términos adyacentes.</w:t>
      </w:r>
    </w:p>
    <w:p w:rsidR="00C90A28" w:rsidRPr="00C90A28" w:rsidRDefault="00C90A28" w:rsidP="00C90A28"/>
    <w:p w:rsidR="00C90A28" w:rsidRPr="00C90A28" w:rsidRDefault="00C90A28" w:rsidP="00C90A28">
      <w:r w:rsidRPr="00C90A28">
        <w:t>Cada uno de estos lazos determina una función en la cual se suprime la variable que cambia de estado siendo cada uno de estos términos una función reducida.</w:t>
      </w:r>
    </w:p>
    <w:p w:rsidR="00C90A28" w:rsidRPr="00C90A28" w:rsidRDefault="00C90A28" w:rsidP="00C90A28"/>
    <w:p w:rsidR="00C90A28" w:rsidRPr="00C90A28" w:rsidRDefault="00C90A28" w:rsidP="00C90A28">
      <w:r w:rsidRPr="00C90A28">
        <w:t>El resultado será el que se obtiene de la suma de los productos de términos reducidos.</w:t>
      </w:r>
    </w:p>
    <w:p w:rsidR="00C90A28" w:rsidRPr="00C90A28" w:rsidRDefault="00C90A28" w:rsidP="00C90A28"/>
    <w:p w:rsidR="00C90A28" w:rsidRPr="00C90A28" w:rsidRDefault="00C90A28" w:rsidP="00C90A28">
      <w:r w:rsidRPr="00C90A28">
        <w:t>Los términos son:</w:t>
      </w:r>
    </w:p>
    <w:p w:rsidR="00C90A28" w:rsidRPr="00EB2603" w:rsidRDefault="00C90A28" w:rsidP="00C90A28">
      <w:pPr>
        <w:numPr>
          <w:ilvl w:val="0"/>
          <w:numId w:val="6"/>
        </w:numPr>
        <w:tabs>
          <w:tab w:val="left" w:pos="1560"/>
        </w:tabs>
        <w:spacing w:after="0" w:line="20" w:lineRule="atLeast"/>
        <w:ind w:left="1418" w:firstLine="0"/>
        <w:rPr>
          <w:rFonts w:ascii="Arial" w:hAnsi="Arial" w:cs="Arial"/>
          <w:lang w:val="es-AR"/>
        </w:rPr>
      </w:pPr>
      <w:r w:rsidRPr="00C90A28">
        <w:t>Lazo I:  Cambian x e y entonces la función queda :</w:t>
      </w:r>
      <w:r w:rsidRPr="00EB2603">
        <w:rPr>
          <w:rFonts w:ascii="Arial" w:hAnsi="Arial" w:cs="Arial"/>
        </w:rPr>
        <w:t xml:space="preserve"> </w:t>
      </w:r>
      <w:r w:rsidRPr="00EB2603">
        <w:rPr>
          <w:rFonts w:ascii="Arial" w:hAnsi="Arial" w:cs="Arial"/>
        </w:rPr>
        <w:object w:dxaOrig="1208" w:dyaOrig="519">
          <v:shape id="_x0000_i1032" type="#_x0000_t75" style="width:60.25pt;height:26.05pt" o:ole="">
            <v:imagedata r:id="rId22" o:title=""/>
          </v:shape>
          <o:OLEObject Type="Embed" ProgID="Visio.Drawing.11" ShapeID="_x0000_i1032" DrawAspect="Content" ObjectID="_1645975365" r:id="rId23"/>
        </w:object>
      </w:r>
    </w:p>
    <w:p w:rsidR="00C90A28" w:rsidRPr="00EB2603" w:rsidRDefault="00C90A28" w:rsidP="00C90A28">
      <w:pPr>
        <w:numPr>
          <w:ilvl w:val="0"/>
          <w:numId w:val="6"/>
        </w:numPr>
        <w:spacing w:after="0" w:line="20" w:lineRule="atLeast"/>
        <w:ind w:left="1560" w:hanging="142"/>
        <w:rPr>
          <w:rFonts w:ascii="Arial" w:hAnsi="Arial" w:cs="Arial"/>
          <w:lang w:val="es-AR"/>
        </w:rPr>
      </w:pPr>
      <w:r w:rsidRPr="00C90A28">
        <w:t>Lazo II: Cambian z y u entonces la función queda:</w:t>
      </w:r>
      <w:r w:rsidRPr="00EB2603">
        <w:rPr>
          <w:rFonts w:ascii="Arial" w:hAnsi="Arial" w:cs="Arial"/>
          <w:lang w:val="es-AR"/>
        </w:rPr>
        <w:t xml:space="preserve"> </w:t>
      </w:r>
      <w:r w:rsidRPr="00EB2603">
        <w:rPr>
          <w:rFonts w:ascii="Arial" w:hAnsi="Arial" w:cs="Arial"/>
        </w:rPr>
        <w:object w:dxaOrig="1208" w:dyaOrig="519">
          <v:shape id="_x0000_i1033" type="#_x0000_t75" style="width:60.25pt;height:26.05pt" o:ole="">
            <v:imagedata r:id="rId24" o:title=""/>
          </v:shape>
          <o:OLEObject Type="Embed" ProgID="Visio.Drawing.11" ShapeID="_x0000_i1033" DrawAspect="Content" ObjectID="_1645975366" r:id="rId25"/>
        </w:object>
      </w:r>
    </w:p>
    <w:p w:rsidR="00C90A28" w:rsidRPr="00EB2603" w:rsidRDefault="00C90A28" w:rsidP="00C90A28">
      <w:pPr>
        <w:numPr>
          <w:ilvl w:val="0"/>
          <w:numId w:val="6"/>
        </w:numPr>
        <w:spacing w:after="0" w:line="20" w:lineRule="atLeast"/>
        <w:ind w:left="1560" w:hanging="142"/>
        <w:rPr>
          <w:rFonts w:ascii="Arial" w:hAnsi="Arial" w:cs="Arial"/>
          <w:lang w:val="es-AR"/>
        </w:rPr>
      </w:pPr>
      <w:r w:rsidRPr="00C90A28">
        <w:t>Lazo III: Cambia u entonces la función queda:</w:t>
      </w:r>
      <w:r w:rsidRPr="00EB2603">
        <w:rPr>
          <w:rFonts w:ascii="Arial" w:hAnsi="Arial" w:cs="Arial"/>
          <w:lang w:val="es-AR"/>
        </w:rPr>
        <w:t xml:space="preserve"> </w:t>
      </w:r>
      <w:r w:rsidRPr="00EB2603">
        <w:rPr>
          <w:rFonts w:ascii="Arial" w:hAnsi="Arial" w:cs="Arial"/>
        </w:rPr>
        <w:object w:dxaOrig="1388" w:dyaOrig="519">
          <v:shape id="_x0000_i1034" type="#_x0000_t75" style="width:69.45pt;height:26.05pt" o:ole="">
            <v:imagedata r:id="rId26" o:title=""/>
          </v:shape>
          <o:OLEObject Type="Embed" ProgID="Visio.Drawing.11" ShapeID="_x0000_i1034" DrawAspect="Content" ObjectID="_1645975367" r:id="rId27"/>
        </w:object>
      </w:r>
    </w:p>
    <w:p w:rsidR="00C90A28" w:rsidRPr="00EB2603" w:rsidRDefault="00C90A28" w:rsidP="00C90A28">
      <w:pPr>
        <w:numPr>
          <w:ilvl w:val="0"/>
          <w:numId w:val="6"/>
        </w:numPr>
        <w:spacing w:after="0" w:line="20" w:lineRule="atLeast"/>
        <w:ind w:left="1560" w:hanging="142"/>
        <w:rPr>
          <w:rFonts w:ascii="Arial" w:hAnsi="Arial" w:cs="Arial"/>
          <w:lang w:val="es-AR"/>
        </w:rPr>
      </w:pPr>
      <w:r w:rsidRPr="00C90A28">
        <w:t>Lazo IV: Cambia y entonces la función queda</w:t>
      </w:r>
      <w:r w:rsidRPr="00EB2603">
        <w:rPr>
          <w:rFonts w:ascii="Arial" w:hAnsi="Arial" w:cs="Arial"/>
          <w:lang w:val="es-AR"/>
        </w:rPr>
        <w:t xml:space="preserve">:  </w:t>
      </w:r>
      <w:r w:rsidRPr="00EB2603">
        <w:rPr>
          <w:rFonts w:ascii="Arial" w:hAnsi="Arial" w:cs="Arial"/>
        </w:rPr>
        <w:object w:dxaOrig="1388" w:dyaOrig="519">
          <v:shape id="_x0000_i1035" type="#_x0000_t75" style="width:69.45pt;height:26.05pt" o:ole="">
            <v:imagedata r:id="rId28" o:title=""/>
          </v:shape>
          <o:OLEObject Type="Embed" ProgID="Visio.Drawing.11" ShapeID="_x0000_i1035" DrawAspect="Content" ObjectID="_1645975368" r:id="rId29"/>
        </w:object>
      </w:r>
    </w:p>
    <w:p w:rsidR="00C90A28" w:rsidRPr="00EB2603" w:rsidRDefault="00C90A28" w:rsidP="00C90A28">
      <w:pPr>
        <w:numPr>
          <w:ilvl w:val="0"/>
          <w:numId w:val="6"/>
        </w:numPr>
        <w:spacing w:after="0" w:line="20" w:lineRule="atLeast"/>
        <w:ind w:left="1560" w:hanging="142"/>
        <w:rPr>
          <w:rFonts w:ascii="Arial" w:hAnsi="Arial" w:cs="Arial"/>
          <w:lang w:val="es-AR"/>
        </w:rPr>
      </w:pPr>
      <w:r w:rsidRPr="00C90A28">
        <w:lastRenderedPageBreak/>
        <w:t>Lazo V: Cambia x y x entonces la función queda:</w:t>
      </w:r>
      <w:r w:rsidRPr="00EB2603">
        <w:rPr>
          <w:rFonts w:ascii="Arial" w:hAnsi="Arial" w:cs="Arial"/>
          <w:lang w:val="es-AR"/>
        </w:rPr>
        <w:t xml:space="preserve"> </w:t>
      </w:r>
      <w:r w:rsidRPr="00EB2603">
        <w:rPr>
          <w:rFonts w:ascii="Arial" w:hAnsi="Arial" w:cs="Arial"/>
        </w:rPr>
        <w:object w:dxaOrig="1208" w:dyaOrig="519">
          <v:shape id="_x0000_i1036" type="#_x0000_t75" style="width:60.25pt;height:26.05pt" o:ole="">
            <v:imagedata r:id="rId30" o:title=""/>
          </v:shape>
          <o:OLEObject Type="Embed" ProgID="Visio.Drawing.11" ShapeID="_x0000_i1036" DrawAspect="Content" ObjectID="_1645975369" r:id="rId31"/>
        </w:object>
      </w:r>
    </w:p>
    <w:p w:rsidR="00C90A28" w:rsidRPr="00EB2603" w:rsidRDefault="00C90A28" w:rsidP="00C90A28">
      <w:pPr>
        <w:spacing w:after="0" w:line="20" w:lineRule="atLeast"/>
        <w:ind w:left="993"/>
        <w:rPr>
          <w:rFonts w:ascii="Arial" w:hAnsi="Arial" w:cs="Arial"/>
          <w:lang w:val="es-AR"/>
        </w:rPr>
      </w:pPr>
    </w:p>
    <w:p w:rsidR="00C90A28" w:rsidRPr="00C90A28" w:rsidRDefault="00C90A28" w:rsidP="00C90A28">
      <w:r w:rsidRPr="00C90A28">
        <w:t>Por lo tanto la función reducida tiene 5 términos de 3 y 2 variables como la siguiente.</w:t>
      </w:r>
    </w:p>
    <w:p w:rsidR="00C90A28" w:rsidRPr="00EB2603" w:rsidRDefault="00C90A28" w:rsidP="00C90A28">
      <w:pPr>
        <w:spacing w:after="0" w:line="20" w:lineRule="atLeast"/>
        <w:ind w:left="993"/>
        <w:rPr>
          <w:rFonts w:ascii="Arial" w:hAnsi="Arial" w:cs="Arial"/>
          <w:lang w:val="es-AR"/>
        </w:rPr>
      </w:pPr>
    </w:p>
    <w:p w:rsidR="00C90A28" w:rsidRPr="00EB2603" w:rsidRDefault="00C90A28" w:rsidP="00C90A28">
      <w:pPr>
        <w:spacing w:after="0" w:line="20" w:lineRule="atLeast"/>
        <w:ind w:left="993"/>
        <w:rPr>
          <w:rFonts w:ascii="Arial" w:hAnsi="Arial" w:cs="Arial"/>
          <w:lang w:val="es-AR"/>
        </w:rPr>
      </w:pPr>
      <w:r w:rsidRPr="00EB2603">
        <w:rPr>
          <w:rFonts w:ascii="Arial" w:hAnsi="Arial" w:cs="Arial"/>
          <w:lang w:val="es-AR"/>
        </w:rPr>
        <w:object w:dxaOrig="5148" w:dyaOrig="489">
          <v:shape id="_x0000_i1037" type="#_x0000_t75" style="width:257.35pt;height:24.5pt" o:ole="">
            <v:imagedata r:id="rId32" o:title=""/>
          </v:shape>
          <o:OLEObject Type="Embed" ProgID="Visio.Drawing.11" ShapeID="_x0000_i1037" DrawAspect="Content" ObjectID="_1645975370" r:id="rId33"/>
        </w:object>
      </w:r>
    </w:p>
    <w:p w:rsidR="00C90A28" w:rsidRPr="00EB2603" w:rsidRDefault="00C90A28" w:rsidP="00C90A28">
      <w:pPr>
        <w:spacing w:after="0" w:line="20" w:lineRule="atLeast"/>
        <w:ind w:left="993"/>
        <w:rPr>
          <w:rFonts w:ascii="Arial" w:hAnsi="Arial" w:cs="Arial"/>
          <w:lang w:val="es-AR"/>
        </w:rPr>
      </w:pPr>
    </w:p>
    <w:p w:rsidR="00C90A28" w:rsidRPr="00C90A28" w:rsidRDefault="00C90A28" w:rsidP="00C90A28">
      <w:r w:rsidRPr="00C90A28">
        <w:t>Para el caso de la representación por el método de Veitch, la metodología es la misma lo que varia es la configuración del mapa. Queda como tarea para el alumno ver esta configuración.</w:t>
      </w:r>
    </w:p>
    <w:p w:rsidR="00C90A28" w:rsidRPr="00EB2603" w:rsidRDefault="00C90A28" w:rsidP="00C90A28">
      <w:pPr>
        <w:spacing w:after="0" w:line="20" w:lineRule="atLeast"/>
        <w:rPr>
          <w:rFonts w:ascii="Arial" w:hAnsi="Arial" w:cs="Arial"/>
          <w:lang w:val="es-AR"/>
        </w:rPr>
      </w:pPr>
    </w:p>
    <w:p w:rsidR="00C90A28" w:rsidRPr="00C90A28" w:rsidRDefault="00C90A28" w:rsidP="00C90A28">
      <w:pPr>
        <w:rPr>
          <w:b/>
          <w:color w:val="808080" w:themeColor="background1" w:themeShade="80"/>
          <w:sz w:val="28"/>
          <w:szCs w:val="28"/>
        </w:rPr>
      </w:pPr>
      <w:bookmarkStart w:id="73" w:name="_Toc350838648"/>
      <w:r w:rsidRPr="00C90A28">
        <w:rPr>
          <w:b/>
          <w:color w:val="808080" w:themeColor="background1" w:themeShade="80"/>
          <w:sz w:val="28"/>
          <w:szCs w:val="28"/>
        </w:rPr>
        <w:t>Mapa de Karnaugh. Distintas formas de agrupar.</w:t>
      </w:r>
      <w:bookmarkEnd w:id="73"/>
    </w:p>
    <w:p w:rsidR="00C90A28" w:rsidRPr="00EB2603" w:rsidRDefault="00C90A28" w:rsidP="00C90A28">
      <w:pPr>
        <w:spacing w:after="0" w:line="20" w:lineRule="atLeast"/>
        <w:ind w:left="993"/>
        <w:rPr>
          <w:rFonts w:ascii="Arial" w:hAnsi="Arial" w:cs="Arial"/>
          <w:lang w:val="es-AR"/>
        </w:rPr>
      </w:pPr>
      <w:r>
        <w:rPr>
          <w:rFonts w:ascii="Arial" w:hAnsi="Arial" w:cs="Arial"/>
          <w:noProof/>
          <w:lang w:val="es-AR" w:eastAsia="es-AR"/>
        </w:rPr>
        <w:drawing>
          <wp:inline distT="0" distB="0" distL="0" distR="0">
            <wp:extent cx="4734533" cy="3071875"/>
            <wp:effectExtent l="19050" t="0" r="8917" b="0"/>
            <wp:docPr id="14" name="Imagen 14" descr="2y3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y3variables"/>
                    <pic:cNvPicPr>
                      <a:picLocks noChangeAspect="1" noChangeArrowheads="1"/>
                    </pic:cNvPicPr>
                  </pic:nvPicPr>
                  <pic:blipFill>
                    <a:blip r:embed="rId34"/>
                    <a:srcRect/>
                    <a:stretch>
                      <a:fillRect/>
                    </a:stretch>
                  </pic:blipFill>
                  <pic:spPr bwMode="auto">
                    <a:xfrm>
                      <a:off x="0" y="0"/>
                      <a:ext cx="4734665" cy="3071960"/>
                    </a:xfrm>
                    <a:prstGeom prst="rect">
                      <a:avLst/>
                    </a:prstGeom>
                    <a:noFill/>
                    <a:ln w="9525">
                      <a:noFill/>
                      <a:miter lim="800000"/>
                      <a:headEnd/>
                      <a:tailEnd/>
                    </a:ln>
                  </pic:spPr>
                </pic:pic>
              </a:graphicData>
            </a:graphic>
          </wp:inline>
        </w:drawing>
      </w:r>
    </w:p>
    <w:p w:rsidR="00C90A28" w:rsidRPr="00C90A28" w:rsidRDefault="00C90A28" w:rsidP="00C90A28">
      <w:pPr>
        <w:spacing w:after="0" w:line="20" w:lineRule="atLeast"/>
        <w:ind w:left="1713"/>
        <w:rPr>
          <w:rFonts w:ascii="Arial" w:hAnsi="Arial" w:cs="Arial"/>
          <w:lang w:val="es-AR"/>
        </w:rPr>
      </w:pPr>
      <w:r w:rsidRPr="00C90A28">
        <w:rPr>
          <w:rFonts w:ascii="Arial" w:hAnsi="Arial" w:cs="Arial"/>
          <w:lang w:val="es-AR"/>
        </w:rPr>
        <w:t>4 Variables.</w:t>
      </w:r>
    </w:p>
    <w:p w:rsidR="00C90A28" w:rsidRPr="00EB2603" w:rsidRDefault="00C90A28" w:rsidP="00C90A28">
      <w:pPr>
        <w:spacing w:after="0" w:line="20" w:lineRule="atLeast"/>
        <w:ind w:left="1713"/>
        <w:rPr>
          <w:rFonts w:ascii="Arial" w:hAnsi="Arial" w:cs="Arial"/>
          <w:lang w:val="es-AR"/>
        </w:rPr>
      </w:pPr>
    </w:p>
    <w:p w:rsidR="00C90A28" w:rsidRPr="00EB2603" w:rsidRDefault="00C90A28" w:rsidP="000727EB">
      <w:pPr>
        <w:spacing w:after="0" w:line="20" w:lineRule="atLeast"/>
        <w:ind w:left="1418"/>
        <w:rPr>
          <w:rFonts w:ascii="Arial" w:hAnsi="Arial" w:cs="Arial"/>
          <w:lang w:val="es-AR"/>
        </w:rPr>
      </w:pPr>
      <w:r>
        <w:rPr>
          <w:rFonts w:ascii="Arial" w:hAnsi="Arial" w:cs="Arial"/>
          <w:noProof/>
          <w:lang w:val="es-AR" w:eastAsia="es-AR"/>
        </w:rPr>
        <w:drawing>
          <wp:inline distT="0" distB="0" distL="0" distR="0">
            <wp:extent cx="4461119" cy="1809115"/>
            <wp:effectExtent l="19050" t="0" r="0" b="0"/>
            <wp:docPr id="15" name="Imagen 15" descr="4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variables"/>
                    <pic:cNvPicPr>
                      <a:picLocks noChangeAspect="1" noChangeArrowheads="1"/>
                    </pic:cNvPicPr>
                  </pic:nvPicPr>
                  <pic:blipFill>
                    <a:blip r:embed="rId35"/>
                    <a:srcRect/>
                    <a:stretch>
                      <a:fillRect/>
                    </a:stretch>
                  </pic:blipFill>
                  <pic:spPr bwMode="auto">
                    <a:xfrm>
                      <a:off x="0" y="0"/>
                      <a:ext cx="4461119" cy="1809115"/>
                    </a:xfrm>
                    <a:prstGeom prst="rect">
                      <a:avLst/>
                    </a:prstGeom>
                    <a:noFill/>
                    <a:ln w="9525">
                      <a:noFill/>
                      <a:miter lim="800000"/>
                      <a:headEnd/>
                      <a:tailEnd/>
                    </a:ln>
                  </pic:spPr>
                </pic:pic>
              </a:graphicData>
            </a:graphic>
          </wp:inline>
        </w:drawing>
      </w:r>
    </w:p>
    <w:p w:rsidR="000727EB" w:rsidRDefault="000727EB" w:rsidP="00C90A28"/>
    <w:p w:rsidR="000727EB" w:rsidRDefault="000727EB" w:rsidP="00C90A28"/>
    <w:p w:rsidR="00C90A28" w:rsidRPr="00C90A28" w:rsidRDefault="00C90A28" w:rsidP="00C90A28">
      <w:r w:rsidRPr="00C90A28">
        <w:lastRenderedPageBreak/>
        <w:t>5 Variables.</w:t>
      </w:r>
    </w:p>
    <w:p w:rsidR="00C90A28" w:rsidRPr="00EB2603" w:rsidRDefault="00C90A28" w:rsidP="00C90A28">
      <w:pPr>
        <w:spacing w:after="0" w:line="20" w:lineRule="atLeast"/>
        <w:ind w:left="993"/>
        <w:jc w:val="right"/>
        <w:rPr>
          <w:rFonts w:ascii="Arial" w:hAnsi="Arial" w:cs="Arial"/>
          <w:lang w:val="es-AR"/>
        </w:rPr>
      </w:pPr>
      <w:r>
        <w:rPr>
          <w:rFonts w:ascii="Arial" w:hAnsi="Arial" w:cs="Arial"/>
          <w:noProof/>
          <w:lang w:val="es-AR" w:eastAsia="es-AR"/>
        </w:rPr>
        <w:drawing>
          <wp:inline distT="0" distB="0" distL="0" distR="0">
            <wp:extent cx="4707068" cy="2399490"/>
            <wp:effectExtent l="19050" t="0" r="0" b="0"/>
            <wp:docPr id="16" name="Imagen 16" descr="5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variables"/>
                    <pic:cNvPicPr>
                      <a:picLocks noChangeAspect="1" noChangeArrowheads="1"/>
                    </pic:cNvPicPr>
                  </pic:nvPicPr>
                  <pic:blipFill>
                    <a:blip r:embed="rId36"/>
                    <a:srcRect/>
                    <a:stretch>
                      <a:fillRect/>
                    </a:stretch>
                  </pic:blipFill>
                  <pic:spPr bwMode="auto">
                    <a:xfrm>
                      <a:off x="0" y="0"/>
                      <a:ext cx="4709066" cy="2400509"/>
                    </a:xfrm>
                    <a:prstGeom prst="rect">
                      <a:avLst/>
                    </a:prstGeom>
                    <a:noFill/>
                    <a:ln w="9525">
                      <a:noFill/>
                      <a:miter lim="800000"/>
                      <a:headEnd/>
                      <a:tailEnd/>
                    </a:ln>
                  </pic:spPr>
                </pic:pic>
              </a:graphicData>
            </a:graphic>
          </wp:inline>
        </w:drawing>
      </w:r>
    </w:p>
    <w:p w:rsidR="00C90A28" w:rsidRDefault="00C90A28" w:rsidP="00C90A28"/>
    <w:sectPr w:rsidR="00C90A28" w:rsidSect="00232E8A">
      <w:headerReference w:type="default" r:id="rId37"/>
      <w:footerReference w:type="default" r:id="rId38"/>
      <w:pgSz w:w="11906" w:h="16838"/>
      <w:pgMar w:top="1417"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3FC" w:rsidRDefault="006633FC" w:rsidP="00D16877">
      <w:pPr>
        <w:spacing w:after="0" w:line="240" w:lineRule="auto"/>
      </w:pPr>
      <w:r>
        <w:separator/>
      </w:r>
    </w:p>
  </w:endnote>
  <w:endnote w:type="continuationSeparator" w:id="1">
    <w:p w:rsidR="006633FC" w:rsidRDefault="006633FC"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D16877" w:rsidRDefault="005F244F" w:rsidP="00D16877">
        <w:pPr>
          <w:pStyle w:val="Piedepgina"/>
          <w:ind w:left="-1701"/>
        </w:pPr>
        <w:r w:rsidRPr="005F244F">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heme="minorBidi"/>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D16877" w:rsidRPr="00310745" w:rsidRDefault="005F244F">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00D16877"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0727EB">
                              <w:rPr>
                                <w:rFonts w:cstheme="minorHAnsi"/>
                                <w:b/>
                                <w:noProof/>
                                <w:color w:val="A6A6A6" w:themeColor="background1" w:themeShade="A6"/>
                                <w:sz w:val="56"/>
                                <w:szCs w:val="56"/>
                              </w:rPr>
                              <w:t>1</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3FC" w:rsidRDefault="006633FC" w:rsidP="00D16877">
      <w:pPr>
        <w:spacing w:after="0" w:line="240" w:lineRule="auto"/>
      </w:pPr>
      <w:r>
        <w:separator/>
      </w:r>
    </w:p>
  </w:footnote>
  <w:footnote w:type="continuationSeparator" w:id="1">
    <w:p w:rsidR="006633FC" w:rsidRDefault="006633FC" w:rsidP="00D16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77" w:rsidRDefault="00AD1DCD">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6400" cy="1117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8BB"/>
    <w:multiLevelType w:val="multilevel"/>
    <w:tmpl w:val="99861E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6014B1"/>
    <w:multiLevelType w:val="hybridMultilevel"/>
    <w:tmpl w:val="110C4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435BA2"/>
    <w:multiLevelType w:val="hybridMultilevel"/>
    <w:tmpl w:val="5596D9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6F20A6"/>
    <w:multiLevelType w:val="hybridMultilevel"/>
    <w:tmpl w:val="F8C645C6"/>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4">
    <w:nsid w:val="55A906BA"/>
    <w:multiLevelType w:val="hybridMultilevel"/>
    <w:tmpl w:val="92A06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CD61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B734F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5"/>
  </w:num>
  <w:num w:numId="2">
    <w:abstractNumId w:val="0"/>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16877"/>
    <w:rsid w:val="000727EB"/>
    <w:rsid w:val="00232E8A"/>
    <w:rsid w:val="00306BDA"/>
    <w:rsid w:val="00310745"/>
    <w:rsid w:val="003801C7"/>
    <w:rsid w:val="00394266"/>
    <w:rsid w:val="003A0148"/>
    <w:rsid w:val="005F244F"/>
    <w:rsid w:val="006633FC"/>
    <w:rsid w:val="00664FFF"/>
    <w:rsid w:val="006E7B34"/>
    <w:rsid w:val="00923551"/>
    <w:rsid w:val="00943D3B"/>
    <w:rsid w:val="00975FAF"/>
    <w:rsid w:val="00986FA3"/>
    <w:rsid w:val="00A32794"/>
    <w:rsid w:val="00AB511A"/>
    <w:rsid w:val="00AD1DCD"/>
    <w:rsid w:val="00B21E17"/>
    <w:rsid w:val="00B24B8E"/>
    <w:rsid w:val="00B37F14"/>
    <w:rsid w:val="00B933B4"/>
    <w:rsid w:val="00BC738A"/>
    <w:rsid w:val="00C553DD"/>
    <w:rsid w:val="00C90A28"/>
    <w:rsid w:val="00CC0A4C"/>
    <w:rsid w:val="00D16877"/>
    <w:rsid w:val="00D22EA2"/>
    <w:rsid w:val="00ED0ADD"/>
    <w:rsid w:val="00FB7B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34"/>
  </w:style>
  <w:style w:type="paragraph" w:styleId="Ttulo1">
    <w:name w:val="heading 1"/>
    <w:basedOn w:val="Normal"/>
    <w:next w:val="Normal"/>
    <w:link w:val="Ttulo1Car"/>
    <w:uiPriority w:val="9"/>
    <w:qFormat/>
    <w:rsid w:val="00C90A28"/>
    <w:pPr>
      <w:keepNext/>
      <w:numPr>
        <w:numId w:val="3"/>
      </w:numPr>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qFormat/>
    <w:rsid w:val="00C90A28"/>
    <w:pPr>
      <w:keepNext/>
      <w:numPr>
        <w:ilvl w:val="1"/>
        <w:numId w:val="3"/>
      </w:numPr>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qFormat/>
    <w:rsid w:val="00C90A28"/>
    <w:pPr>
      <w:keepNext/>
      <w:numPr>
        <w:ilvl w:val="2"/>
        <w:numId w:val="3"/>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qFormat/>
    <w:rsid w:val="00C90A28"/>
    <w:pPr>
      <w:keepNext/>
      <w:numPr>
        <w:ilvl w:val="3"/>
        <w:numId w:val="3"/>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qFormat/>
    <w:rsid w:val="00C90A28"/>
    <w:pPr>
      <w:numPr>
        <w:ilvl w:val="4"/>
        <w:numId w:val="3"/>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qFormat/>
    <w:rsid w:val="00C90A28"/>
    <w:pPr>
      <w:numPr>
        <w:ilvl w:val="5"/>
        <w:numId w:val="3"/>
      </w:numPr>
      <w:spacing w:before="240" w:after="60"/>
      <w:outlineLvl w:val="5"/>
    </w:pPr>
    <w:rPr>
      <w:rFonts w:ascii="Calibri" w:eastAsia="Times New Roman" w:hAnsi="Calibri" w:cs="Times New Roman"/>
      <w:b/>
      <w:bCs/>
    </w:rPr>
  </w:style>
  <w:style w:type="paragraph" w:styleId="Ttulo7">
    <w:name w:val="heading 7"/>
    <w:basedOn w:val="Normal"/>
    <w:next w:val="Normal"/>
    <w:link w:val="Ttulo7Car"/>
    <w:uiPriority w:val="9"/>
    <w:qFormat/>
    <w:rsid w:val="00C90A28"/>
    <w:pPr>
      <w:numPr>
        <w:ilvl w:val="6"/>
        <w:numId w:val="3"/>
      </w:numPr>
      <w:spacing w:before="240" w:after="60"/>
      <w:outlineLvl w:val="6"/>
    </w:pPr>
    <w:rPr>
      <w:rFonts w:ascii="Calibri" w:eastAsia="Times New Roman" w:hAnsi="Calibri" w:cs="Times New Roman"/>
      <w:sz w:val="24"/>
      <w:szCs w:val="24"/>
    </w:rPr>
  </w:style>
  <w:style w:type="paragraph" w:styleId="Ttulo8">
    <w:name w:val="heading 8"/>
    <w:basedOn w:val="Normal"/>
    <w:next w:val="Normal"/>
    <w:link w:val="Ttulo8Car"/>
    <w:uiPriority w:val="9"/>
    <w:qFormat/>
    <w:rsid w:val="00C90A28"/>
    <w:pPr>
      <w:numPr>
        <w:ilvl w:val="7"/>
        <w:numId w:val="3"/>
      </w:numPr>
      <w:spacing w:before="240" w:after="6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qFormat/>
    <w:rsid w:val="00C90A28"/>
    <w:pPr>
      <w:numPr>
        <w:ilvl w:val="8"/>
        <w:numId w:val="3"/>
      </w:num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character" w:customStyle="1" w:styleId="Ttulo1Car">
    <w:name w:val="Título 1 Car"/>
    <w:basedOn w:val="Fuentedeprrafopredeter"/>
    <w:link w:val="Ttulo1"/>
    <w:uiPriority w:val="9"/>
    <w:rsid w:val="00C90A28"/>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C90A28"/>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C90A28"/>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rsid w:val="00C90A28"/>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C90A28"/>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rsid w:val="00C90A28"/>
    <w:rPr>
      <w:rFonts w:ascii="Calibri" w:eastAsia="Times New Roman" w:hAnsi="Calibri" w:cs="Times New Roman"/>
      <w:b/>
      <w:bCs/>
    </w:rPr>
  </w:style>
  <w:style w:type="character" w:customStyle="1" w:styleId="Ttulo7Car">
    <w:name w:val="Título 7 Car"/>
    <w:basedOn w:val="Fuentedeprrafopredeter"/>
    <w:link w:val="Ttulo7"/>
    <w:uiPriority w:val="9"/>
    <w:rsid w:val="00C90A28"/>
    <w:rPr>
      <w:rFonts w:ascii="Calibri" w:eastAsia="Times New Roman" w:hAnsi="Calibri" w:cs="Times New Roman"/>
      <w:sz w:val="24"/>
      <w:szCs w:val="24"/>
    </w:rPr>
  </w:style>
  <w:style w:type="character" w:customStyle="1" w:styleId="Ttulo8Car">
    <w:name w:val="Título 8 Car"/>
    <w:basedOn w:val="Fuentedeprrafopredeter"/>
    <w:link w:val="Ttulo8"/>
    <w:uiPriority w:val="9"/>
    <w:rsid w:val="00C90A28"/>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rsid w:val="00C90A28"/>
    <w:rPr>
      <w:rFonts w:ascii="Cambria" w:eastAsia="Times New Roman" w:hAnsi="Cambria" w:cs="Times New Roman"/>
    </w:rPr>
  </w:style>
  <w:style w:type="paragraph" w:styleId="Prrafodelista">
    <w:name w:val="List Paragraph"/>
    <w:basedOn w:val="Normal"/>
    <w:uiPriority w:val="34"/>
    <w:qFormat/>
    <w:rsid w:val="00C90A28"/>
    <w:pPr>
      <w:ind w:left="708"/>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6.jpe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D11-5F48-4882-891A-DDB733E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2</cp:revision>
  <dcterms:created xsi:type="dcterms:W3CDTF">2020-03-17T21:33:00Z</dcterms:created>
  <dcterms:modified xsi:type="dcterms:W3CDTF">2020-03-17T21:33:00Z</dcterms:modified>
</cp:coreProperties>
</file>