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77B4"/>
          <w:sz w:val="20"/>
        </w:rPr>
        <w:t>OII462 · Tarea 5</w:t>
      </w:r>
    </w:p>
    <w:p>
      <w:pPr>
        <w:spacing w:after="40"/>
      </w:pPr>
      <w:r>
        <w:rPr>
          <w:b/>
          <w:i w:val="0"/>
          <w:color w:val="1B2A41"/>
          <w:sz w:val="38"/>
        </w:rPr>
        <w:t>Datos de imitación y modelo de atención con puntero para el WTAP</w:t>
      </w:r>
    </w:p>
    <w:p>
      <w:pPr>
        <w:spacing w:after="40"/>
      </w:pPr>
      <w:r>
        <w:rPr>
          <w:b w:val="0"/>
          <w:i w:val="0"/>
          <w:color w:val="6B7585"/>
          <w:sz w:val="22"/>
        </w:rPr>
        <w:t>Informe: descomposición de soluciones, codificación de la entrada y de la salida (puntos 1–3)</w:t>
      </w:r>
    </w:p>
    <w:p>
      <w:pPr>
        <w:spacing w:after="200"/>
      </w:pPr>
      <w:r>
        <w:rPr>
          <w:b/>
          <w:i w:val="0"/>
        </w:rPr>
        <w:t>[Nombre(s) del grupo]</w:t>
      </w:r>
      <w:r>
        <w:rPr>
          <w:b w:val="0"/>
          <w:i w:val="0"/>
          <w:color w:val="6B7585"/>
        </w:rPr>
        <w:t xml:space="preserve">  ·  Optimización combinatoria · 2026</w:t>
      </w:r>
    </w:p>
    <w:p>
      <w:r>
        <w:rPr>
          <w:b/>
          <w:i w:val="0"/>
        </w:rPr>
        <w:t xml:space="preserve">Problema. </w:t>
      </w:r>
      <w:r>
        <w:rPr>
          <w:b w:val="0"/>
          <w:i w:val="0"/>
        </w:rPr>
        <w:t>En el Weapon-Target Assignment Problem (WTAP) hay W armas y T objetivos; el objetivo j vale Vⱼ y el arma i lo destruye con probabilidad pᵢⱼ. Cada arma se asigna a lo más a un objetivo (un objetivo puede recibir varias) y se minimiza el valor esperado que sobrevive:</w:t>
      </w:r>
    </w:p>
    <w:p>
      <w:pPr>
        <w:spacing w:after="120"/>
        <w:jc w:val="center"/>
      </w:pPr>
      <w:r>
        <w:drawing>
          <wp:inline xmlns:a="http://schemas.openxmlformats.org/drawingml/2006/main" xmlns:pic="http://schemas.openxmlformats.org/drawingml/2006/picture">
            <wp:extent cx="2684300" cy="378000"/>
            <wp:docPr id="1" name="Picture 1"/>
            <wp:cNvGraphicFramePr>
              <a:graphicFrameLocks noChangeAspect="1"/>
            </wp:cNvGraphicFramePr>
            <a:graphic>
              <a:graphicData uri="http://schemas.openxmlformats.org/drawingml/2006/picture">
                <pic:pic>
                  <pic:nvPicPr>
                    <pic:cNvPr id="0" name="objetivo.png"/>
                    <pic:cNvPicPr/>
                  </pic:nvPicPr>
                  <pic:blipFill>
                    <a:blip r:embed="rId9"/>
                    <a:stretch>
                      <a:fillRect/>
                    </a:stretch>
                  </pic:blipFill>
                  <pic:spPr>
                    <a:xfrm>
                      <a:off x="0" y="0"/>
                      <a:ext cx="2684300" cy="378000"/>
                    </a:xfrm>
                    <a:prstGeom prst="rect"/>
                  </pic:spPr>
                </pic:pic>
              </a:graphicData>
            </a:graphic>
          </wp:inline>
        </w:drawing>
      </w:r>
    </w:p>
    <w:p>
      <w:r>
        <w:rPr>
          <w:b w:val="0"/>
          <w:i w:val="0"/>
        </w:rPr>
        <w:t xml:space="preserve">Llamamos qⱼ a la probabilidad de que el objetivo j sobreviva con las armas asignadas hasta ahora. Las instancias siguen la literatura (Vⱼ ~ U{25,…,100}, pᵢⱼ ~ U(0,6; 0,9)); se entrena con </w:t>
      </w:r>
      <w:r>
        <w:rPr>
          <w:b/>
          <w:i w:val="0"/>
        </w:rPr>
        <w:t>W = 10 y T = 8</w:t>
      </w:r>
      <w:r>
        <w:rPr>
          <w:b w:val="0"/>
          <w:i w:val="0"/>
        </w:rPr>
        <w:t>, pero el modelo acepta cualquier tamaño.</w:t>
      </w:r>
    </w:p>
    <w:p>
      <w:r>
        <w:rPr>
          <w:b/>
          <w:i w:val="0"/>
        </w:rPr>
        <w:t xml:space="preserve">Qué cambia respecto de la Tarea 4. </w:t>
      </w:r>
      <w:r>
        <w:rPr>
          <w:b w:val="0"/>
          <w:i w:val="0"/>
        </w:rPr>
        <w:t xml:space="preserve">La MLP de la Tarea 4 asignaba las armas en orden fijo (arma 0, 1, …) y elegía el objetivo de la arma actual. Tenía pesos distintos por posición, tamaño fijo y no podía decidir qué arma usar primero. Con un encoder de self-attention y un puntero, cada </w:t>
      </w:r>
      <w:r>
        <w:rPr>
          <w:b/>
          <w:i w:val="0"/>
        </w:rPr>
        <w:t>acción posible es un par (arma i → objetivo j)</w:t>
      </w:r>
      <w:r>
        <w:rPr>
          <w:b w:val="0"/>
          <w:i w:val="0"/>
        </w:rPr>
        <w:t xml:space="preserve"> representado por una fila de la matriz de entrada, y la decisión puntual del modelo es: </w:t>
      </w:r>
      <w:r>
        <w:rPr>
          <w:b/>
          <w:i w:val="0"/>
        </w:rPr>
        <w:t>dado el estado actual, ¿qué arma asigno ahora y a qué objetivo?</w:t>
      </w:r>
      <w:r>
        <w:rPr>
          <w:b w:val="0"/>
          <w:i w:val="0"/>
        </w:rPr>
        <w:t xml:space="preserve"> Es la misma pregunta que se hace MMR (Maximum Marginal Return), la heurística constructiva clásica del WTAP.</w:t>
      </w:r>
    </w:p>
    <w:p>
      <w:pPr>
        <w:pStyle w:val="Heading1"/>
      </w:pPr>
      <w:r>
        <w:t>1. Descomposición de las soluciones en decisiones</w:t>
      </w:r>
    </w:p>
    <w:p>
      <w:pPr>
        <w:pStyle w:val="Heading2"/>
      </w:pPr>
      <w:r>
        <w:t>Algoritmo tradicional (experto) y tipo de acciones</w:t>
      </w:r>
    </w:p>
    <w:p>
      <w:r>
        <w:rPr>
          <w:b w:val="0"/>
          <w:i w:val="0"/>
        </w:rPr>
        <w:t xml:space="preserve">El experto es la </w:t>
      </w:r>
      <w:r>
        <w:rPr>
          <w:b/>
          <w:i w:val="0"/>
        </w:rPr>
        <w:t>Búsqueda Local Iterada (ILS)</w:t>
      </w:r>
      <w:r>
        <w:rPr>
          <w:b w:val="0"/>
          <w:i w:val="0"/>
        </w:rPr>
        <w:t xml:space="preserve"> de la Tarea 4: parte de la solución de MMR, aplica búsqueda local best-improvement con los vecindarios reassign y swap (deltas de costo vectorizados), perturba 3 armas al azar y acepta si mejora (o con probabilidad 5 %). En instancias 10×8 alcanza el óptimo en todas las instancias verificadas con un método exacto meet-in-the-middle.</w:t>
      </w:r>
    </w:p>
    <w:p>
      <w:r>
        <w:rPr>
          <w:b w:val="0"/>
          <w:i w:val="0"/>
        </w:rPr>
        <w:t xml:space="preserve">Usamos </w:t>
      </w:r>
      <w:r>
        <w:rPr>
          <w:b/>
          <w:i w:val="0"/>
        </w:rPr>
        <w:t>acciones constructivas</w:t>
      </w:r>
      <w:r>
        <w:rPr>
          <w:b w:val="0"/>
          <w:i w:val="0"/>
        </w:rPr>
        <w:t>: cada acción agrega un par (arma libre i → objetivo j) a la solución parcial. No usamos la secuencia de movimientos de búsqueda local del experto porque esa trayectoria recorre cientos de movimientos ligados a perturbaciones aleatorias y no es una política reproducible a partir del estado. Una construcción, en cambio, tiene exactamente W decisiones y cada una depende solo del estado parcial, igual que en el ejemplo del TSP. Además, representar la acción como un par (y no como "el objetivo de la arma actual") elimina la restricción de orden fijo: el modelo puede elegir qué arma usar, como MMR.</w:t>
      </w:r>
    </w:p>
    <w:p>
      <w:pPr>
        <w:pStyle w:val="Heading2"/>
      </w:pPr>
      <w:r>
        <w:t>Regla de orden: de un conjunto de pares a una secuencia</w:t>
      </w:r>
    </w:p>
    <w:p>
      <w:r>
        <w:rPr>
          <w:b w:val="0"/>
          <w:i w:val="0"/>
        </w:rPr>
        <w:t xml:space="preserve">La solución del experto es un </w:t>
      </w:r>
      <w:r>
        <w:rPr>
          <w:b/>
          <w:i w:val="0"/>
        </w:rPr>
        <w:t>conjunto</w:t>
      </w:r>
      <w:r>
        <w:rPr>
          <w:b w:val="0"/>
          <w:i w:val="0"/>
        </w:rPr>
        <w:t xml:space="preserve"> de W pares (i, a*ᵢ) sin orden. Para descomponerla necesitamos decidir en qué orden se agregan los pares. Usamos el criterio de MMR: en cada paso, entre las armas aún libres, se toma el par del experto con </w:t>
      </w:r>
      <w:r>
        <w:rPr>
          <w:b/>
          <w:i w:val="0"/>
        </w:rPr>
        <w:t>mayor ganancia marginal</w:t>
      </w:r>
      <w:r>
        <w:rPr>
          <w:b w:val="0"/>
          <w:i w:val="0"/>
        </w:rPr>
        <w:t xml:space="preserve"> en el estado actual:</w:t>
      </w:r>
    </w:p>
    <w:p>
      <w:pPr>
        <w:spacing w:after="120"/>
        <w:jc w:val="center"/>
      </w:pPr>
      <w:r>
        <w:drawing>
          <wp:inline xmlns:a="http://schemas.openxmlformats.org/drawingml/2006/main" xmlns:pic="http://schemas.openxmlformats.org/drawingml/2006/picture">
            <wp:extent cx="5017655" cy="360000"/>
            <wp:docPr id="2" name="Picture 2"/>
            <wp:cNvGraphicFramePr>
              <a:graphicFrameLocks noChangeAspect="1"/>
            </wp:cNvGraphicFramePr>
            <a:graphic>
              <a:graphicData uri="http://schemas.openxmlformats.org/drawingml/2006/picture">
                <pic:pic>
                  <pic:nvPicPr>
                    <pic:cNvPr id="0" name="orden.png"/>
                    <pic:cNvPicPr/>
                  </pic:nvPicPr>
                  <pic:blipFill>
                    <a:blip r:embed="rId10"/>
                    <a:stretch>
                      <a:fillRect/>
                    </a:stretch>
                  </pic:blipFill>
                  <pic:spPr>
                    <a:xfrm>
                      <a:off x="0" y="0"/>
                      <a:ext cx="5017655" cy="360000"/>
                    </a:xfrm>
                    <a:prstGeom prst="rect"/>
                  </pic:spPr>
                </pic:pic>
              </a:graphicData>
            </a:graphic>
          </wp:inline>
        </w:drawing>
      </w:r>
    </w:p>
    <w:p>
      <w:r>
        <w:rPr>
          <w:b w:val="0"/>
          <w:i w:val="0"/>
        </w:rPr>
        <w:t>La regla es determinista (una sola etiqueta por estado) y cualquier orden reconstruye exactamente la solución del experto. Como coincide con el criterio de MMR, las decisiones con grandes ganancias van primero y la política aprendida puede leerse como “MMR corregido por el experto”: en la mayoría de los pasos el par escogido es el mismo que elegiría MMR, y el modelo debe aprender a detectar cuándo no lo es.</w:t>
      </w:r>
    </w:p>
    <w:p>
      <w:pPr>
        <w:pStyle w:val="Heading2"/>
      </w:pPr>
      <w:r>
        <w:t>Tuplas (estado, acciones posibles, acción escogida)</w:t>
      </w:r>
    </w:p>
    <w:p>
      <w:pPr>
        <w:pStyle w:val="ListBullet"/>
        <w:spacing w:after="40"/>
        <w:ind w:left="510"/>
      </w:pPr>
      <w:r>
        <w:rPr>
          <w:b/>
          <w:i w:val="0"/>
        </w:rPr>
        <w:t xml:space="preserve">Estado inicial: </w:t>
      </w:r>
      <w:r>
        <w:rPr>
          <w:b w:val="0"/>
          <w:i w:val="0"/>
        </w:rPr>
        <w:t>asignación vacía, todas las armas libres (</w:t>
      </w:r>
      <w:r>
        <w:rPr>
          <w:rFonts w:ascii="Liberation Mono" w:hAnsi="Liberation Mono"/>
          <w:b w:val="0"/>
          <w:i w:val="0"/>
          <w:sz w:val="19"/>
        </w:rPr>
        <w:t>assignment = [-1]*W</w:t>
      </w:r>
      <w:r>
        <w:rPr>
          <w:b w:val="0"/>
          <w:i w:val="0"/>
        </w:rPr>
        <w:t xml:space="preserve">). Es el análogo de </w:t>
      </w:r>
      <w:r>
        <w:rPr>
          <w:rFonts w:ascii="Liberation Mono" w:hAnsi="Liberation Mono"/>
          <w:b w:val="0"/>
          <w:i w:val="0"/>
          <w:sz w:val="19"/>
        </w:rPr>
        <w:t>visited=[0]</w:t>
      </w:r>
      <w:r>
        <w:rPr>
          <w:b w:val="0"/>
          <w:i w:val="0"/>
        </w:rPr>
        <w:t xml:space="preserve"> en el TSP.</w:t>
      </w:r>
    </w:p>
    <w:p>
      <w:pPr>
        <w:pStyle w:val="ListBullet"/>
        <w:spacing w:after="40"/>
        <w:ind w:left="510"/>
      </w:pPr>
      <w:r>
        <w:rPr>
          <w:b/>
          <w:i w:val="0"/>
        </w:rPr>
        <w:t xml:space="preserve">Acciones posibles: </w:t>
      </w:r>
      <w:r>
        <w:rPr>
          <w:b w:val="0"/>
          <w:i w:val="0"/>
        </w:rPr>
        <w:t xml:space="preserve">todos los pares (arma libre, objetivo), generados por </w:t>
      </w:r>
      <w:r>
        <w:rPr>
          <w:rFonts w:ascii="Liberation Mono" w:hAnsi="Liberation Mono"/>
          <w:b w:val="0"/>
          <w:i w:val="0"/>
          <w:sz w:val="19"/>
        </w:rPr>
        <w:t>env.gen_actions(state, "constructive")</w:t>
      </w:r>
      <w:r>
        <w:rPr>
          <w:b w:val="0"/>
          <w:i w:val="0"/>
        </w:rPr>
        <w:t>. Con k armas libres son k·T (80 en el primer paso, 8 en el último).</w:t>
      </w:r>
    </w:p>
    <w:p>
      <w:pPr>
        <w:pStyle w:val="ListBullet"/>
        <w:spacing w:after="40"/>
        <w:ind w:left="510"/>
      </w:pPr>
      <w:r>
        <w:rPr>
          <w:b/>
          <w:i w:val="0"/>
        </w:rPr>
        <w:t xml:space="preserve">Acción escogida: </w:t>
      </w:r>
      <w:r>
        <w:rPr>
          <w:b w:val="0"/>
          <w:i w:val="0"/>
        </w:rPr>
        <w:t xml:space="preserve">el par del experto que indica la regla de orden. Luego se aplica </w:t>
      </w:r>
      <w:r>
        <w:rPr>
          <w:rFonts w:ascii="Liberation Mono" w:hAnsi="Liberation Mono"/>
          <w:b w:val="0"/>
          <w:i w:val="0"/>
          <w:sz w:val="19"/>
        </w:rPr>
        <w:t>env.state_transition(state, ("constructive", (i, j)))</w:t>
      </w:r>
      <w:r>
        <w:rPr>
          <w:b w:val="0"/>
          <w:i w:val="0"/>
        </w:rPr>
        <w:t>, que fija xᵢⱼ = 1 y actualiza qⱼ ← qⱼ(1 − pᵢⱼ).</w:t>
      </w:r>
    </w:p>
    <w:p>
      <w:pPr>
        <w:pStyle w:val="ListBullet"/>
        <w:spacing w:after="40"/>
        <w:ind w:left="510"/>
      </w:pPr>
      <w:r>
        <w:rPr>
          <w:b/>
          <w:i w:val="0"/>
        </w:rPr>
        <w:t xml:space="preserve">Término: </w:t>
      </w:r>
      <w:r>
        <w:rPr>
          <w:b w:val="0"/>
          <w:i w:val="0"/>
        </w:rPr>
        <w:t>cuando las W armas están asignadas, así que hay W tuplas por instancia. A diferencia del TSP no se corta antes: incluso la última arma tiene T destinos posibles y esa decisión no es trivial.</w:t>
      </w:r>
    </w:p>
    <w:tbl>
      <w:tblPr>
        <w:tblW w:type="auto" w:w="0"/>
        <w:jc w:val="center"/>
        <w:tblLayout w:type="fixed"/>
        <w:tblLook w:firstColumn="1" w:firstRow="1" w:lastColumn="0" w:lastRow="0" w:noHBand="0" w:noVBand="1" w:val="04A0"/>
      </w:tblPr>
      <w:tblGrid>
        <w:gridCol w:w="9519"/>
      </w:tblGrid>
      <w:tr>
        <w:tc>
          <w:tcPr>
            <w:tcW w:type="dxa" w:w="9519"/>
            <w:shd w:val="clear" w:color="auto" w:fill="F3F5F8"/>
          </w:tcPr>
          <w:p>
            <w:pPr>
              <w:spacing w:after="0" w:line="240" w:lineRule="auto"/>
            </w:pPr>
            <w:r/>
            <w:r>
              <w:rPr>
                <w:rFonts w:ascii="Liberation Mono" w:hAnsi="Liberation Mono"/>
                <w:sz w:val="17"/>
              </w:rPr>
              <w:t>def decompose(inst, expert_assignment):</w:t>
            </w:r>
          </w:p>
          <w:p>
            <w:pPr>
              <w:spacing w:after="0" w:line="240" w:lineRule="auto"/>
            </w:pPr>
            <w:r>
              <w:rPr>
                <w:rFonts w:ascii="Liberation Mono" w:hAnsi="Liberation Mono"/>
                <w:sz w:val="17"/>
              </w:rPr>
              <w:t xml:space="preserve">    a = expert_assignment</w:t>
            </w:r>
          </w:p>
          <w:p>
            <w:pPr>
              <w:spacing w:after="0" w:line="240" w:lineRule="auto"/>
            </w:pPr>
            <w:r>
              <w:rPr>
                <w:rFonts w:ascii="Liberation Mono" w:hAnsi="Liberation Mono"/>
                <w:sz w:val="17"/>
              </w:rPr>
              <w:t xml:space="preserve">    state = WTAP_State(inst)                          # estado inicial: nada asignado</w:t>
            </w:r>
          </w:p>
          <w:p>
            <w:pPr>
              <w:spacing w:after="0" w:line="240" w:lineRule="auto"/>
            </w:pPr>
            <w:r>
              <w:rPr>
                <w:rFonts w:ascii="Liberation Mono" w:hAnsi="Liberation Mono"/>
                <w:sz w:val="17"/>
              </w:rPr>
              <w:t xml:space="preserve">    while not state.is_complete:                      # término: todas las armas asignadas</w:t>
            </w:r>
          </w:p>
          <w:p>
            <w:pPr>
              <w:spacing w:after="0" w:line="240" w:lineRule="auto"/>
            </w:pPr>
            <w:r>
              <w:rPr>
                <w:rFonts w:ascii="Liberation Mono" w:hAnsi="Liberation Mono"/>
                <w:sz w:val="17"/>
              </w:rPr>
              <w:t xml:space="preserve">        free = state.free_weapons</w:t>
            </w:r>
          </w:p>
          <w:p>
            <w:pPr>
              <w:spacing w:after="0" w:line="240" w:lineRule="auto"/>
            </w:pPr>
            <w:r>
              <w:rPr>
                <w:rFonts w:ascii="Liberation Mono" w:hAnsi="Liberation Mono"/>
                <w:sz w:val="17"/>
              </w:rPr>
              <w:t xml:space="preserve">        gains = [V[a[i]] * state.q[a[i]] * P[i, a[i]] for i in free]</w:t>
            </w:r>
          </w:p>
          <w:p>
            <w:pPr>
              <w:spacing w:after="0" w:line="240" w:lineRule="auto"/>
            </w:pPr>
            <w:r>
              <w:rPr>
                <w:rFonts w:ascii="Liberation Mono" w:hAnsi="Liberation Mono"/>
                <w:sz w:val="17"/>
              </w:rPr>
              <w:t xml:space="preserve">        i = free[argmax(gains)]                       # regla de orden (criterio MMR)</w:t>
            </w:r>
          </w:p>
          <w:p>
            <w:pPr>
              <w:spacing w:after="0" w:line="240" w:lineRule="auto"/>
            </w:pPr>
            <w:r>
              <w:rPr>
                <w:rFonts w:ascii="Liberation Mono" w:hAnsi="Liberation Mono"/>
                <w:sz w:val="17"/>
              </w:rPr>
              <w:t xml:space="preserve">        chosen = ("constructive", (i, a[i]))</w:t>
            </w:r>
          </w:p>
          <w:p>
            <w:pPr>
              <w:spacing w:after="0" w:line="240" w:lineRule="auto"/>
            </w:pPr>
            <w:r>
              <w:rPr>
                <w:rFonts w:ascii="Liberation Mono" w:hAnsi="Liberation Mono"/>
                <w:sz w:val="17"/>
              </w:rPr>
              <w:t xml:space="preserve">        yield deepcopy(state), list(env.gen_actions(state, "constructive")), chosen</w:t>
            </w:r>
          </w:p>
          <w:p>
            <w:pPr>
              <w:spacing w:after="0" w:line="240" w:lineRule="auto"/>
            </w:pPr>
            <w:r>
              <w:rPr>
                <w:rFonts w:ascii="Liberation Mono" w:hAnsi="Liberation Mono"/>
                <w:sz w:val="17"/>
              </w:rPr>
              <w:t xml:space="preserve">        env.state_transition(state, chosen)</w:t>
            </w:r>
          </w:p>
        </w:tc>
      </w:tr>
    </w:tbl>
    <w:p>
      <w:pPr>
        <w:spacing w:after="40"/>
      </w:pPr>
    </w:p>
    <w:p>
      <w:pPr>
        <w:pStyle w:val="Heading2"/>
      </w:pPr>
      <w:r>
        <w:t>Ejemplo concreto</w:t>
      </w:r>
    </w:p>
    <w:p>
      <w:pPr>
        <w:keepNext/>
      </w:pPr>
      <w:r>
        <w:rPr>
          <w:b w:val="0"/>
          <w:i w:val="0"/>
        </w:rPr>
        <w:t xml:space="preserve">Instancia de ejemplo (10 armas × 8 objetivos). El experto encuentra la asignación </w:t>
      </w:r>
      <w:r>
        <w:rPr>
          <w:rFonts w:ascii="Liberation Mono" w:hAnsi="Liberation Mono"/>
          <w:b w:val="0"/>
          <w:i w:val="0"/>
          <w:sz w:val="19"/>
        </w:rPr>
        <w:t>[3, 7, 2, 5, 3, 1, 6, 4, 0, 5]</w:t>
      </w:r>
      <w:r>
        <w:rPr>
          <w:b w:val="0"/>
          <w:i w:val="0"/>
        </w:rPr>
        <w:t xml:space="preserve"> (arma → objetivo) con costo 52,95. Su descomposición en 10 decisiones es:</w:t>
      </w:r>
    </w:p>
    <w:tbl>
      <w:tblPr>
        <w:tblStyle w:val="TableGrid"/>
        <w:tblW w:type="auto" w:w="0"/>
        <w:jc w:val="center"/>
        <w:tblLayout w:type="fixed"/>
        <w:tblLook w:firstColumn="1" w:firstRow="1" w:lastColumn="0" w:lastRow="0" w:noHBand="0" w:noVBand="1" w:val="04A0"/>
      </w:tblPr>
      <w:tblGrid>
        <w:gridCol w:w="794"/>
        <w:gridCol w:w="1361"/>
        <w:gridCol w:w="1701"/>
        <w:gridCol w:w="2835"/>
        <w:gridCol w:w="2835"/>
      </w:tblGrid>
      <w:tr>
        <w:trPr>
          <w:cantSplit w:val="true"/>
        </w:trPr>
        <w:tc>
          <w:tcPr>
            <w:tcW w:type="dxa" w:w="794"/>
            <w:vAlign w:val="center"/>
            <w:shd w:val="clear" w:color="auto" w:fill="1B2A41"/>
          </w:tcPr>
          <w:p>
            <w:pPr>
              <w:spacing w:after="0" w:line="240" w:lineRule="auto"/>
              <w:jc w:val="center"/>
            </w:pPr>
            <w:r/>
            <w:r>
              <w:rPr>
                <w:b/>
                <w:i w:val="0"/>
                <w:color w:val="FFFFFF"/>
                <w:sz w:val="18"/>
              </w:rPr>
              <w:t>Paso</w:t>
            </w:r>
          </w:p>
        </w:tc>
        <w:tc>
          <w:tcPr>
            <w:tcW w:type="dxa" w:w="1361"/>
            <w:vAlign w:val="center"/>
            <w:shd w:val="clear" w:color="auto" w:fill="1B2A41"/>
          </w:tcPr>
          <w:p>
            <w:pPr>
              <w:spacing w:after="0" w:line="240" w:lineRule="auto"/>
              <w:jc w:val="center"/>
            </w:pPr>
            <w:r/>
            <w:r>
              <w:rPr>
                <w:b/>
                <w:i w:val="0"/>
                <w:color w:val="FFFFFF"/>
                <w:sz w:val="18"/>
              </w:rPr>
              <w:t>Armas libres</w:t>
            </w:r>
          </w:p>
        </w:tc>
        <w:tc>
          <w:tcPr>
            <w:tcW w:type="dxa" w:w="1701"/>
            <w:vAlign w:val="center"/>
            <w:shd w:val="clear" w:color="auto" w:fill="1B2A41"/>
          </w:tcPr>
          <w:p>
            <w:pPr>
              <w:spacing w:after="0" w:line="240" w:lineRule="auto"/>
              <w:jc w:val="center"/>
            </w:pPr>
            <w:r/>
            <w:r>
              <w:rPr>
                <w:b/>
                <w:i w:val="0"/>
                <w:color w:val="FFFFFF"/>
                <w:sz w:val="18"/>
              </w:rPr>
              <w:t>Acciones posibles</w:t>
            </w:r>
          </w:p>
        </w:tc>
        <w:tc>
          <w:tcPr>
            <w:tcW w:type="dxa" w:w="2835"/>
            <w:vAlign w:val="center"/>
            <w:shd w:val="clear" w:color="auto" w:fill="1B2A41"/>
          </w:tcPr>
          <w:p>
            <w:pPr>
              <w:spacing w:after="0" w:line="240" w:lineRule="auto"/>
              <w:jc w:val="center"/>
            </w:pPr>
            <w:r/>
            <w:r>
              <w:rPr>
                <w:b/>
                <w:i w:val="0"/>
                <w:color w:val="FFFFFF"/>
                <w:sz w:val="18"/>
              </w:rPr>
              <w:t>Acción escogida (experto)</w:t>
            </w:r>
          </w:p>
        </w:tc>
        <w:tc>
          <w:tcPr>
            <w:tcW w:type="dxa" w:w="2835"/>
            <w:vAlign w:val="center"/>
            <w:shd w:val="clear" w:color="auto" w:fill="1B2A41"/>
          </w:tcPr>
          <w:p>
            <w:pPr>
              <w:spacing w:after="0" w:line="240" w:lineRule="auto"/>
              <w:jc w:val="center"/>
            </w:pPr>
            <w:r/>
            <w:r>
              <w:rPr>
                <w:b/>
                <w:i w:val="0"/>
                <w:color w:val="FFFFFF"/>
                <w:sz w:val="18"/>
              </w:rPr>
              <w:t>MMR elegiría</w:t>
            </w:r>
          </w:p>
        </w:tc>
      </w:tr>
      <w:tr>
        <w:trPr>
          <w:cantSplit w:val="true"/>
        </w:trPr>
        <w:tc>
          <w:tcPr>
            <w:tcW w:type="dxa" w:w="794"/>
            <w:vAlign w:val="center"/>
            <w:shd w:val="clear" w:color="auto" w:fill="FFF2CC"/>
          </w:tcPr>
          <w:p>
            <w:pPr>
              <w:spacing w:after="0" w:line="240" w:lineRule="auto"/>
              <w:jc w:val="center"/>
            </w:pPr>
            <w:r/>
            <w:r>
              <w:rPr>
                <w:b w:val="0"/>
                <w:i w:val="0"/>
                <w:sz w:val="18"/>
              </w:rPr>
              <w:t>0</w:t>
            </w:r>
          </w:p>
        </w:tc>
        <w:tc>
          <w:tcPr>
            <w:tcW w:type="dxa" w:w="1361"/>
            <w:vAlign w:val="center"/>
            <w:shd w:val="clear" w:color="auto" w:fill="FFF2CC"/>
          </w:tcPr>
          <w:p>
            <w:pPr>
              <w:spacing w:after="0" w:line="240" w:lineRule="auto"/>
              <w:jc w:val="center"/>
            </w:pPr>
            <w:r/>
            <w:r>
              <w:rPr>
                <w:b w:val="0"/>
                <w:i w:val="0"/>
                <w:sz w:val="18"/>
              </w:rPr>
              <w:t>10</w:t>
            </w:r>
          </w:p>
        </w:tc>
        <w:tc>
          <w:tcPr>
            <w:tcW w:type="dxa" w:w="1701"/>
            <w:vAlign w:val="center"/>
            <w:shd w:val="clear" w:color="auto" w:fill="FFF2CC"/>
          </w:tcPr>
          <w:p>
            <w:pPr>
              <w:spacing w:after="0" w:line="240" w:lineRule="auto"/>
              <w:jc w:val="center"/>
            </w:pPr>
            <w:r/>
            <w:r>
              <w:rPr>
                <w:b w:val="0"/>
                <w:i w:val="0"/>
                <w:sz w:val="18"/>
              </w:rPr>
              <w:t>80</w:t>
            </w:r>
          </w:p>
        </w:tc>
        <w:tc>
          <w:tcPr>
            <w:tcW w:type="dxa" w:w="2835"/>
            <w:vAlign w:val="center"/>
            <w:shd w:val="clear" w:color="auto" w:fill="FFF2CC"/>
          </w:tcPr>
          <w:p>
            <w:pPr>
              <w:spacing w:after="0" w:line="240" w:lineRule="auto"/>
              <w:jc w:val="center"/>
            </w:pPr>
            <w:r/>
            <w:r>
              <w:rPr>
                <w:b w:val="0"/>
                <w:i w:val="0"/>
                <w:sz w:val="18"/>
              </w:rPr>
              <w:t>arma 5 → objetivo 1</w:t>
            </w:r>
          </w:p>
        </w:tc>
        <w:tc>
          <w:tcPr>
            <w:tcW w:type="dxa" w:w="2835"/>
            <w:vAlign w:val="center"/>
            <w:shd w:val="clear" w:color="auto" w:fill="FFF2CC"/>
          </w:tcPr>
          <w:p>
            <w:pPr>
              <w:spacing w:after="0" w:line="240" w:lineRule="auto"/>
              <w:jc w:val="center"/>
            </w:pPr>
            <w:r/>
            <w:r>
              <w:rPr>
                <w:b w:val="0"/>
                <w:i w:val="0"/>
                <w:sz w:val="18"/>
              </w:rPr>
              <w:t>arma 1 → objetivo 1  (≠)</w:t>
            </w:r>
          </w:p>
        </w:tc>
      </w:tr>
      <w:tr>
        <w:trPr>
          <w:cantSplit w:val="true"/>
        </w:trPr>
        <w:tc>
          <w:tcPr>
            <w:tcW w:type="dxa" w:w="794"/>
            <w:vAlign w:val="center"/>
            <w:shd w:val="clear" w:color="auto" w:fill="FFF2CC"/>
          </w:tcPr>
          <w:p>
            <w:pPr>
              <w:spacing w:after="0" w:line="240" w:lineRule="auto"/>
              <w:jc w:val="center"/>
            </w:pPr>
            <w:r/>
            <w:r>
              <w:rPr>
                <w:b w:val="0"/>
                <w:i w:val="0"/>
                <w:sz w:val="18"/>
              </w:rPr>
              <w:t>1</w:t>
            </w:r>
          </w:p>
        </w:tc>
        <w:tc>
          <w:tcPr>
            <w:tcW w:type="dxa" w:w="1361"/>
            <w:vAlign w:val="center"/>
            <w:shd w:val="clear" w:color="auto" w:fill="FFF2CC"/>
          </w:tcPr>
          <w:p>
            <w:pPr>
              <w:spacing w:after="0" w:line="240" w:lineRule="auto"/>
              <w:jc w:val="center"/>
            </w:pPr>
            <w:r/>
            <w:r>
              <w:rPr>
                <w:b w:val="0"/>
                <w:i w:val="0"/>
                <w:sz w:val="18"/>
              </w:rPr>
              <w:t>9</w:t>
            </w:r>
          </w:p>
        </w:tc>
        <w:tc>
          <w:tcPr>
            <w:tcW w:type="dxa" w:w="1701"/>
            <w:vAlign w:val="center"/>
            <w:shd w:val="clear" w:color="auto" w:fill="FFF2CC"/>
          </w:tcPr>
          <w:p>
            <w:pPr>
              <w:spacing w:after="0" w:line="240" w:lineRule="auto"/>
              <w:jc w:val="center"/>
            </w:pPr>
            <w:r/>
            <w:r>
              <w:rPr>
                <w:b w:val="0"/>
                <w:i w:val="0"/>
                <w:sz w:val="18"/>
              </w:rPr>
              <w:t>72</w:t>
            </w:r>
          </w:p>
        </w:tc>
        <w:tc>
          <w:tcPr>
            <w:tcW w:type="dxa" w:w="2835"/>
            <w:vAlign w:val="center"/>
            <w:shd w:val="clear" w:color="auto" w:fill="FFF2CC"/>
          </w:tcPr>
          <w:p>
            <w:pPr>
              <w:spacing w:after="0" w:line="240" w:lineRule="auto"/>
              <w:jc w:val="center"/>
            </w:pPr>
            <w:r/>
            <w:r>
              <w:rPr>
                <w:b w:val="0"/>
                <w:i w:val="0"/>
                <w:sz w:val="18"/>
              </w:rPr>
              <w:t>arma 3 → objetivo 5</w:t>
            </w:r>
          </w:p>
        </w:tc>
        <w:tc>
          <w:tcPr>
            <w:tcW w:type="dxa" w:w="2835"/>
            <w:vAlign w:val="center"/>
            <w:shd w:val="clear" w:color="auto" w:fill="FFF2CC"/>
          </w:tcPr>
          <w:p>
            <w:pPr>
              <w:spacing w:after="0" w:line="240" w:lineRule="auto"/>
              <w:jc w:val="center"/>
            </w:pPr>
            <w:r/>
            <w:r>
              <w:rPr>
                <w:b w:val="0"/>
                <w:i w:val="0"/>
                <w:sz w:val="18"/>
              </w:rPr>
              <w:t>arma 6 → objetivo 3  (≠)</w:t>
            </w:r>
          </w:p>
        </w:tc>
      </w:tr>
      <w:tr>
        <w:trPr>
          <w:cantSplit w:val="true"/>
        </w:trPr>
        <w:tc>
          <w:tcPr>
            <w:tcW w:type="dxa" w:w="794"/>
            <w:vAlign w:val="center"/>
            <w:shd w:val="clear" w:color="auto" w:fill="FFF2CC"/>
          </w:tcPr>
          <w:p>
            <w:pPr>
              <w:spacing w:after="0" w:line="240" w:lineRule="auto"/>
              <w:jc w:val="center"/>
            </w:pPr>
            <w:r/>
            <w:r>
              <w:rPr>
                <w:b w:val="0"/>
                <w:i w:val="0"/>
                <w:sz w:val="18"/>
              </w:rPr>
              <w:t>2</w:t>
            </w:r>
          </w:p>
        </w:tc>
        <w:tc>
          <w:tcPr>
            <w:tcW w:type="dxa" w:w="1361"/>
            <w:vAlign w:val="center"/>
            <w:shd w:val="clear" w:color="auto" w:fill="FFF2CC"/>
          </w:tcPr>
          <w:p>
            <w:pPr>
              <w:spacing w:after="0" w:line="240" w:lineRule="auto"/>
              <w:jc w:val="center"/>
            </w:pPr>
            <w:r/>
            <w:r>
              <w:rPr>
                <w:b w:val="0"/>
                <w:i w:val="0"/>
                <w:sz w:val="18"/>
              </w:rPr>
              <w:t>8</w:t>
            </w:r>
          </w:p>
        </w:tc>
        <w:tc>
          <w:tcPr>
            <w:tcW w:type="dxa" w:w="1701"/>
            <w:vAlign w:val="center"/>
            <w:shd w:val="clear" w:color="auto" w:fill="FFF2CC"/>
          </w:tcPr>
          <w:p>
            <w:pPr>
              <w:spacing w:after="0" w:line="240" w:lineRule="auto"/>
              <w:jc w:val="center"/>
            </w:pPr>
            <w:r/>
            <w:r>
              <w:rPr>
                <w:b w:val="0"/>
                <w:i w:val="0"/>
                <w:sz w:val="18"/>
              </w:rPr>
              <w:t>64</w:t>
            </w:r>
          </w:p>
        </w:tc>
        <w:tc>
          <w:tcPr>
            <w:tcW w:type="dxa" w:w="2835"/>
            <w:vAlign w:val="center"/>
            <w:shd w:val="clear" w:color="auto" w:fill="FFF2CC"/>
          </w:tcPr>
          <w:p>
            <w:pPr>
              <w:spacing w:after="0" w:line="240" w:lineRule="auto"/>
              <w:jc w:val="center"/>
            </w:pPr>
            <w:r/>
            <w:r>
              <w:rPr>
                <w:b w:val="0"/>
                <w:i w:val="0"/>
                <w:sz w:val="18"/>
              </w:rPr>
              <w:t>arma 0 → objetivo 3</w:t>
            </w:r>
          </w:p>
        </w:tc>
        <w:tc>
          <w:tcPr>
            <w:tcW w:type="dxa" w:w="2835"/>
            <w:vAlign w:val="center"/>
            <w:shd w:val="clear" w:color="auto" w:fill="FFF2CC"/>
          </w:tcPr>
          <w:p>
            <w:pPr>
              <w:spacing w:after="0" w:line="240" w:lineRule="auto"/>
              <w:jc w:val="center"/>
            </w:pPr>
            <w:r/>
            <w:r>
              <w:rPr>
                <w:b w:val="0"/>
                <w:i w:val="0"/>
                <w:sz w:val="18"/>
              </w:rPr>
              <w:t>arma 6 → objetivo 3  (≠)</w:t>
            </w:r>
          </w:p>
        </w:tc>
      </w:tr>
      <w:tr>
        <w:trPr>
          <w:cantSplit w:val="true"/>
        </w:trPr>
        <w:tc>
          <w:tcPr>
            <w:tcW w:type="dxa" w:w="794"/>
            <w:vAlign w:val="center"/>
          </w:tcPr>
          <w:p>
            <w:pPr>
              <w:spacing w:after="0" w:line="240" w:lineRule="auto"/>
              <w:jc w:val="center"/>
            </w:pPr>
            <w:r/>
            <w:r>
              <w:rPr>
                <w:b w:val="0"/>
                <w:i w:val="0"/>
                <w:sz w:val="18"/>
              </w:rPr>
              <w:t>3</w:t>
            </w:r>
          </w:p>
        </w:tc>
        <w:tc>
          <w:tcPr>
            <w:tcW w:type="dxa" w:w="1361"/>
            <w:vAlign w:val="center"/>
          </w:tcPr>
          <w:p>
            <w:pPr>
              <w:spacing w:after="0" w:line="240" w:lineRule="auto"/>
              <w:jc w:val="center"/>
            </w:pPr>
            <w:r/>
            <w:r>
              <w:rPr>
                <w:b w:val="0"/>
                <w:i w:val="0"/>
                <w:sz w:val="18"/>
              </w:rPr>
              <w:t>7</w:t>
            </w:r>
          </w:p>
        </w:tc>
        <w:tc>
          <w:tcPr>
            <w:tcW w:type="dxa" w:w="1701"/>
            <w:vAlign w:val="center"/>
          </w:tcPr>
          <w:p>
            <w:pPr>
              <w:spacing w:after="0" w:line="240" w:lineRule="auto"/>
              <w:jc w:val="center"/>
            </w:pPr>
            <w:r/>
            <w:r>
              <w:rPr>
                <w:b w:val="0"/>
                <w:i w:val="0"/>
                <w:sz w:val="18"/>
              </w:rPr>
              <w:t>56</w:t>
            </w:r>
          </w:p>
        </w:tc>
        <w:tc>
          <w:tcPr>
            <w:tcW w:type="dxa" w:w="2835"/>
            <w:vAlign w:val="center"/>
          </w:tcPr>
          <w:p>
            <w:pPr>
              <w:spacing w:after="0" w:line="240" w:lineRule="auto"/>
              <w:jc w:val="center"/>
            </w:pPr>
            <w:r/>
            <w:r>
              <w:rPr>
                <w:b w:val="0"/>
                <w:i w:val="0"/>
                <w:sz w:val="18"/>
              </w:rPr>
              <w:t>arma 8 → objetivo 0</w:t>
            </w:r>
          </w:p>
        </w:tc>
        <w:tc>
          <w:tcPr>
            <w:tcW w:type="dxa" w:w="2835"/>
            <w:vAlign w:val="center"/>
          </w:tcPr>
          <w:p>
            <w:pPr>
              <w:spacing w:after="0" w:line="240" w:lineRule="auto"/>
              <w:jc w:val="center"/>
            </w:pPr>
            <w:r/>
            <w:r>
              <w:rPr>
                <w:b w:val="0"/>
                <w:i w:val="0"/>
                <w:sz w:val="18"/>
              </w:rPr>
              <w:t>arma 8 → objetivo 0</w:t>
            </w:r>
          </w:p>
        </w:tc>
      </w:tr>
      <w:tr>
        <w:trPr>
          <w:cantSplit w:val="true"/>
        </w:trPr>
        <w:tc>
          <w:tcPr>
            <w:tcW w:type="dxa" w:w="794"/>
            <w:vAlign w:val="center"/>
          </w:tcPr>
          <w:p>
            <w:pPr>
              <w:spacing w:after="0" w:line="240" w:lineRule="auto"/>
              <w:jc w:val="center"/>
            </w:pPr>
            <w:r/>
            <w:r>
              <w:rPr>
                <w:b w:val="0"/>
                <w:i w:val="0"/>
                <w:sz w:val="18"/>
              </w:rPr>
              <w:t>4</w:t>
            </w:r>
          </w:p>
        </w:tc>
        <w:tc>
          <w:tcPr>
            <w:tcW w:type="dxa" w:w="1361"/>
            <w:vAlign w:val="center"/>
          </w:tcPr>
          <w:p>
            <w:pPr>
              <w:spacing w:after="0" w:line="240" w:lineRule="auto"/>
              <w:jc w:val="center"/>
            </w:pPr>
            <w:r/>
            <w:r>
              <w:rPr>
                <w:b w:val="0"/>
                <w:i w:val="0"/>
                <w:sz w:val="18"/>
              </w:rPr>
              <w:t>6</w:t>
            </w:r>
          </w:p>
        </w:tc>
        <w:tc>
          <w:tcPr>
            <w:tcW w:type="dxa" w:w="1701"/>
            <w:vAlign w:val="center"/>
          </w:tcPr>
          <w:p>
            <w:pPr>
              <w:spacing w:after="0" w:line="240" w:lineRule="auto"/>
              <w:jc w:val="center"/>
            </w:pPr>
            <w:r/>
            <w:r>
              <w:rPr>
                <w:b w:val="0"/>
                <w:i w:val="0"/>
                <w:sz w:val="18"/>
              </w:rPr>
              <w:t>48</w:t>
            </w:r>
          </w:p>
        </w:tc>
        <w:tc>
          <w:tcPr>
            <w:tcW w:type="dxa" w:w="2835"/>
            <w:vAlign w:val="center"/>
          </w:tcPr>
          <w:p>
            <w:pPr>
              <w:spacing w:after="0" w:line="240" w:lineRule="auto"/>
              <w:jc w:val="center"/>
            </w:pPr>
            <w:r/>
            <w:r>
              <w:rPr>
                <w:b w:val="0"/>
                <w:i w:val="0"/>
                <w:sz w:val="18"/>
              </w:rPr>
              <w:t>arma 2 → objetivo 2</w:t>
            </w:r>
          </w:p>
        </w:tc>
        <w:tc>
          <w:tcPr>
            <w:tcW w:type="dxa" w:w="2835"/>
            <w:vAlign w:val="center"/>
          </w:tcPr>
          <w:p>
            <w:pPr>
              <w:spacing w:after="0" w:line="240" w:lineRule="auto"/>
              <w:jc w:val="center"/>
            </w:pPr>
            <w:r/>
            <w:r>
              <w:rPr>
                <w:b w:val="0"/>
                <w:i w:val="0"/>
                <w:sz w:val="18"/>
              </w:rPr>
              <w:t>arma 2 → objetivo 2</w:t>
            </w:r>
          </w:p>
        </w:tc>
      </w:tr>
      <w:tr>
        <w:trPr>
          <w:cantSplit w:val="true"/>
        </w:trPr>
        <w:tc>
          <w:tcPr>
            <w:tcW w:type="dxa" w:w="794"/>
            <w:vAlign w:val="center"/>
          </w:tcPr>
          <w:p>
            <w:pPr>
              <w:spacing w:after="0" w:line="240" w:lineRule="auto"/>
              <w:jc w:val="center"/>
            </w:pPr>
            <w:r/>
            <w:r>
              <w:rPr>
                <w:b w:val="0"/>
                <w:i w:val="0"/>
                <w:sz w:val="18"/>
              </w:rPr>
              <w:t>5</w:t>
            </w:r>
          </w:p>
        </w:tc>
        <w:tc>
          <w:tcPr>
            <w:tcW w:type="dxa" w:w="1361"/>
            <w:vAlign w:val="center"/>
          </w:tcPr>
          <w:p>
            <w:pPr>
              <w:spacing w:after="0" w:line="240" w:lineRule="auto"/>
              <w:jc w:val="center"/>
            </w:pPr>
            <w:r/>
            <w:r>
              <w:rPr>
                <w:b w:val="0"/>
                <w:i w:val="0"/>
                <w:sz w:val="18"/>
              </w:rPr>
              <w:t>5</w:t>
            </w:r>
          </w:p>
        </w:tc>
        <w:tc>
          <w:tcPr>
            <w:tcW w:type="dxa" w:w="1701"/>
            <w:vAlign w:val="center"/>
          </w:tcPr>
          <w:p>
            <w:pPr>
              <w:spacing w:after="0" w:line="240" w:lineRule="auto"/>
              <w:jc w:val="center"/>
            </w:pPr>
            <w:r/>
            <w:r>
              <w:rPr>
                <w:b w:val="0"/>
                <w:i w:val="0"/>
                <w:sz w:val="18"/>
              </w:rPr>
              <w:t>40</w:t>
            </w:r>
          </w:p>
        </w:tc>
        <w:tc>
          <w:tcPr>
            <w:tcW w:type="dxa" w:w="2835"/>
            <w:vAlign w:val="center"/>
          </w:tcPr>
          <w:p>
            <w:pPr>
              <w:spacing w:after="0" w:line="240" w:lineRule="auto"/>
              <w:jc w:val="center"/>
            </w:pPr>
            <w:r/>
            <w:r>
              <w:rPr>
                <w:b w:val="0"/>
                <w:i w:val="0"/>
                <w:sz w:val="18"/>
              </w:rPr>
              <w:t>arma 7 → objetivo 4</w:t>
            </w:r>
          </w:p>
        </w:tc>
        <w:tc>
          <w:tcPr>
            <w:tcW w:type="dxa" w:w="2835"/>
            <w:vAlign w:val="center"/>
          </w:tcPr>
          <w:p>
            <w:pPr>
              <w:spacing w:after="0" w:line="240" w:lineRule="auto"/>
              <w:jc w:val="center"/>
            </w:pPr>
            <w:r/>
            <w:r>
              <w:rPr>
                <w:b w:val="0"/>
                <w:i w:val="0"/>
                <w:sz w:val="18"/>
              </w:rPr>
              <w:t>arma 7 → objetivo 4</w:t>
            </w:r>
          </w:p>
        </w:tc>
      </w:tr>
      <w:tr>
        <w:trPr>
          <w:cantSplit w:val="true"/>
        </w:trPr>
        <w:tc>
          <w:tcPr>
            <w:tcW w:type="dxa" w:w="794"/>
            <w:vAlign w:val="center"/>
          </w:tcPr>
          <w:p>
            <w:pPr>
              <w:spacing w:after="0" w:line="240" w:lineRule="auto"/>
              <w:jc w:val="center"/>
            </w:pPr>
            <w:r/>
            <w:r>
              <w:rPr>
                <w:b w:val="0"/>
                <w:i w:val="0"/>
                <w:sz w:val="18"/>
              </w:rPr>
              <w:t>6</w:t>
            </w:r>
          </w:p>
        </w:tc>
        <w:tc>
          <w:tcPr>
            <w:tcW w:type="dxa" w:w="1361"/>
            <w:vAlign w:val="center"/>
          </w:tcPr>
          <w:p>
            <w:pPr>
              <w:spacing w:after="0" w:line="240" w:lineRule="auto"/>
              <w:jc w:val="center"/>
            </w:pPr>
            <w:r/>
            <w:r>
              <w:rPr>
                <w:b w:val="0"/>
                <w:i w:val="0"/>
                <w:sz w:val="18"/>
              </w:rPr>
              <w:t>4</w:t>
            </w:r>
          </w:p>
        </w:tc>
        <w:tc>
          <w:tcPr>
            <w:tcW w:type="dxa" w:w="1701"/>
            <w:vAlign w:val="center"/>
          </w:tcPr>
          <w:p>
            <w:pPr>
              <w:spacing w:after="0" w:line="240" w:lineRule="auto"/>
              <w:jc w:val="center"/>
            </w:pPr>
            <w:r/>
            <w:r>
              <w:rPr>
                <w:b w:val="0"/>
                <w:i w:val="0"/>
                <w:sz w:val="18"/>
              </w:rPr>
              <w:t>32</w:t>
            </w:r>
          </w:p>
        </w:tc>
        <w:tc>
          <w:tcPr>
            <w:tcW w:type="dxa" w:w="2835"/>
            <w:vAlign w:val="center"/>
          </w:tcPr>
          <w:p>
            <w:pPr>
              <w:spacing w:after="0" w:line="240" w:lineRule="auto"/>
              <w:jc w:val="center"/>
            </w:pPr>
            <w:r/>
            <w:r>
              <w:rPr>
                <w:b w:val="0"/>
                <w:i w:val="0"/>
                <w:sz w:val="18"/>
              </w:rPr>
              <w:t>arma 1 → objetivo 7</w:t>
            </w:r>
          </w:p>
        </w:tc>
        <w:tc>
          <w:tcPr>
            <w:tcW w:type="dxa" w:w="2835"/>
            <w:vAlign w:val="center"/>
          </w:tcPr>
          <w:p>
            <w:pPr>
              <w:spacing w:after="0" w:line="240" w:lineRule="auto"/>
              <w:jc w:val="center"/>
            </w:pPr>
            <w:r/>
            <w:r>
              <w:rPr>
                <w:b w:val="0"/>
                <w:i w:val="0"/>
                <w:sz w:val="18"/>
              </w:rPr>
              <w:t>arma 1 → objetivo 7</w:t>
            </w:r>
          </w:p>
        </w:tc>
      </w:tr>
      <w:tr>
        <w:trPr>
          <w:cantSplit w:val="true"/>
        </w:trPr>
        <w:tc>
          <w:tcPr>
            <w:tcW w:type="dxa" w:w="794"/>
            <w:vAlign w:val="center"/>
          </w:tcPr>
          <w:p>
            <w:pPr>
              <w:spacing w:after="0" w:line="240" w:lineRule="auto"/>
              <w:jc w:val="center"/>
            </w:pPr>
            <w:r/>
            <w:r>
              <w:rPr>
                <w:b w:val="0"/>
                <w:i w:val="0"/>
                <w:sz w:val="18"/>
              </w:rPr>
              <w:t>7</w:t>
            </w:r>
          </w:p>
        </w:tc>
        <w:tc>
          <w:tcPr>
            <w:tcW w:type="dxa" w:w="1361"/>
            <w:vAlign w:val="center"/>
          </w:tcPr>
          <w:p>
            <w:pPr>
              <w:spacing w:after="0" w:line="240" w:lineRule="auto"/>
              <w:jc w:val="center"/>
            </w:pPr>
            <w:r/>
            <w:r>
              <w:rPr>
                <w:b w:val="0"/>
                <w:i w:val="0"/>
                <w:sz w:val="18"/>
              </w:rPr>
              <w:t>3</w:t>
            </w:r>
          </w:p>
        </w:tc>
        <w:tc>
          <w:tcPr>
            <w:tcW w:type="dxa" w:w="1701"/>
            <w:vAlign w:val="center"/>
          </w:tcPr>
          <w:p>
            <w:pPr>
              <w:spacing w:after="0" w:line="240" w:lineRule="auto"/>
              <w:jc w:val="center"/>
            </w:pPr>
            <w:r/>
            <w:r>
              <w:rPr>
                <w:b w:val="0"/>
                <w:i w:val="0"/>
                <w:sz w:val="18"/>
              </w:rPr>
              <w:t>24</w:t>
            </w:r>
          </w:p>
        </w:tc>
        <w:tc>
          <w:tcPr>
            <w:tcW w:type="dxa" w:w="2835"/>
            <w:vAlign w:val="center"/>
          </w:tcPr>
          <w:p>
            <w:pPr>
              <w:spacing w:after="0" w:line="240" w:lineRule="auto"/>
              <w:jc w:val="center"/>
            </w:pPr>
            <w:r/>
            <w:r>
              <w:rPr>
                <w:b w:val="0"/>
                <w:i w:val="0"/>
                <w:sz w:val="18"/>
              </w:rPr>
              <w:t>arma 6 → objetivo 6</w:t>
            </w:r>
          </w:p>
        </w:tc>
        <w:tc>
          <w:tcPr>
            <w:tcW w:type="dxa" w:w="2835"/>
            <w:vAlign w:val="center"/>
          </w:tcPr>
          <w:p>
            <w:pPr>
              <w:spacing w:after="0" w:line="240" w:lineRule="auto"/>
              <w:jc w:val="center"/>
            </w:pPr>
            <w:r/>
            <w:r>
              <w:rPr>
                <w:b w:val="0"/>
                <w:i w:val="0"/>
                <w:sz w:val="18"/>
              </w:rPr>
              <w:t>arma 6 → objetivo 6</w:t>
            </w:r>
          </w:p>
        </w:tc>
      </w:tr>
      <w:tr>
        <w:trPr>
          <w:cantSplit w:val="true"/>
        </w:trPr>
        <w:tc>
          <w:tcPr>
            <w:tcW w:type="dxa" w:w="794"/>
            <w:vAlign w:val="center"/>
            <w:shd w:val="clear" w:color="auto" w:fill="FFF2CC"/>
          </w:tcPr>
          <w:p>
            <w:pPr>
              <w:spacing w:after="0" w:line="240" w:lineRule="auto"/>
              <w:jc w:val="center"/>
            </w:pPr>
            <w:r/>
            <w:r>
              <w:rPr>
                <w:b w:val="0"/>
                <w:i w:val="0"/>
                <w:sz w:val="18"/>
              </w:rPr>
              <w:t>8</w:t>
            </w:r>
          </w:p>
        </w:tc>
        <w:tc>
          <w:tcPr>
            <w:tcW w:type="dxa" w:w="1361"/>
            <w:vAlign w:val="center"/>
            <w:shd w:val="clear" w:color="auto" w:fill="FFF2CC"/>
          </w:tcPr>
          <w:p>
            <w:pPr>
              <w:spacing w:after="0" w:line="240" w:lineRule="auto"/>
              <w:jc w:val="center"/>
            </w:pPr>
            <w:r/>
            <w:r>
              <w:rPr>
                <w:b w:val="0"/>
                <w:i w:val="0"/>
                <w:sz w:val="18"/>
              </w:rPr>
              <w:t>2</w:t>
            </w:r>
          </w:p>
        </w:tc>
        <w:tc>
          <w:tcPr>
            <w:tcW w:type="dxa" w:w="1701"/>
            <w:vAlign w:val="center"/>
            <w:shd w:val="clear" w:color="auto" w:fill="FFF2CC"/>
          </w:tcPr>
          <w:p>
            <w:pPr>
              <w:spacing w:after="0" w:line="240" w:lineRule="auto"/>
              <w:jc w:val="center"/>
            </w:pPr>
            <w:r/>
            <w:r>
              <w:rPr>
                <w:b w:val="0"/>
                <w:i w:val="0"/>
                <w:sz w:val="18"/>
              </w:rPr>
              <w:t>16</w:t>
            </w:r>
          </w:p>
        </w:tc>
        <w:tc>
          <w:tcPr>
            <w:tcW w:type="dxa" w:w="2835"/>
            <w:vAlign w:val="center"/>
            <w:shd w:val="clear" w:color="auto" w:fill="FFF2CC"/>
          </w:tcPr>
          <w:p>
            <w:pPr>
              <w:spacing w:after="0" w:line="240" w:lineRule="auto"/>
              <w:jc w:val="center"/>
            </w:pPr>
            <w:r/>
            <w:r>
              <w:rPr>
                <w:b w:val="0"/>
                <w:i w:val="0"/>
                <w:sz w:val="18"/>
              </w:rPr>
              <w:t>arma 4 → objetivo 3</w:t>
            </w:r>
          </w:p>
        </w:tc>
        <w:tc>
          <w:tcPr>
            <w:tcW w:type="dxa" w:w="2835"/>
            <w:vAlign w:val="center"/>
            <w:shd w:val="clear" w:color="auto" w:fill="FFF2CC"/>
          </w:tcPr>
          <w:p>
            <w:pPr>
              <w:spacing w:after="0" w:line="240" w:lineRule="auto"/>
              <w:jc w:val="center"/>
            </w:pPr>
            <w:r/>
            <w:r>
              <w:rPr>
                <w:b w:val="0"/>
                <w:i w:val="0"/>
                <w:sz w:val="18"/>
              </w:rPr>
              <w:t>arma 9 → objetivo 3  (≠)</w:t>
            </w:r>
          </w:p>
        </w:tc>
      </w:tr>
      <w:tr>
        <w:trPr>
          <w:cantSplit w:val="true"/>
        </w:trPr>
        <w:tc>
          <w:tcPr>
            <w:tcW w:type="dxa" w:w="794"/>
            <w:vAlign w:val="center"/>
          </w:tcPr>
          <w:p>
            <w:pPr>
              <w:spacing w:after="0" w:line="240" w:lineRule="auto"/>
              <w:jc w:val="center"/>
            </w:pPr>
            <w:r/>
            <w:r>
              <w:rPr>
                <w:b w:val="0"/>
                <w:i w:val="0"/>
                <w:sz w:val="18"/>
              </w:rPr>
              <w:t>9</w:t>
            </w:r>
          </w:p>
        </w:tc>
        <w:tc>
          <w:tcPr>
            <w:tcW w:type="dxa" w:w="1361"/>
            <w:vAlign w:val="center"/>
          </w:tcPr>
          <w:p>
            <w:pPr>
              <w:spacing w:after="0" w:line="240" w:lineRule="auto"/>
              <w:jc w:val="center"/>
            </w:pPr>
            <w:r/>
            <w:r>
              <w:rPr>
                <w:b w:val="0"/>
                <w:i w:val="0"/>
                <w:sz w:val="18"/>
              </w:rPr>
              <w:t>1</w:t>
            </w:r>
          </w:p>
        </w:tc>
        <w:tc>
          <w:tcPr>
            <w:tcW w:type="dxa" w:w="1701"/>
            <w:vAlign w:val="center"/>
          </w:tcPr>
          <w:p>
            <w:pPr>
              <w:spacing w:after="0" w:line="240" w:lineRule="auto"/>
              <w:jc w:val="center"/>
            </w:pPr>
            <w:r/>
            <w:r>
              <w:rPr>
                <w:b w:val="0"/>
                <w:i w:val="0"/>
                <w:sz w:val="18"/>
              </w:rPr>
              <w:t>8</w:t>
            </w:r>
          </w:p>
        </w:tc>
        <w:tc>
          <w:tcPr>
            <w:tcW w:type="dxa" w:w="2835"/>
            <w:vAlign w:val="center"/>
          </w:tcPr>
          <w:p>
            <w:pPr>
              <w:spacing w:after="0" w:line="240" w:lineRule="auto"/>
              <w:jc w:val="center"/>
            </w:pPr>
            <w:r/>
            <w:r>
              <w:rPr>
                <w:b w:val="0"/>
                <w:i w:val="0"/>
                <w:sz w:val="18"/>
              </w:rPr>
              <w:t>arma 9 → objetivo 5</w:t>
            </w:r>
          </w:p>
        </w:tc>
        <w:tc>
          <w:tcPr>
            <w:tcW w:type="dxa" w:w="2835"/>
            <w:vAlign w:val="center"/>
          </w:tcPr>
          <w:p>
            <w:pPr>
              <w:spacing w:after="0" w:line="240" w:lineRule="auto"/>
              <w:jc w:val="center"/>
            </w:pPr>
            <w:r/>
            <w:r>
              <w:rPr>
                <w:b w:val="0"/>
                <w:i w:val="0"/>
                <w:sz w:val="18"/>
              </w:rPr>
              <w:t>arma 9 → objetivo 5</w:t>
            </w:r>
          </w:p>
        </w:tc>
      </w:tr>
    </w:tbl>
    <w:p>
      <w:pPr>
        <w:spacing w:after="40"/>
      </w:pPr>
    </w:p>
    <w:p>
      <w:r>
        <w:rPr>
          <w:b w:val="0"/>
          <w:i w:val="0"/>
        </w:rPr>
        <w:t>En 4 de los 10 pasos (en amarillo) el par del experto no es el de mayor ganancia: son justamente las decisiones que MMR toma mal y que el modelo debe aprender a corregir. En todo el conjunto de validación, MMR coincide con el experto en 79,9 % de los pasos.</w:t>
      </w:r>
    </w:p>
    <w:p>
      <w:pPr>
        <w:keepNext/>
        <w:spacing w:after="40"/>
        <w:jc w:val="center"/>
      </w:pPr>
      <w:r>
        <w:drawing>
          <wp:inline xmlns:a="http://schemas.openxmlformats.org/drawingml/2006/main" xmlns:pic="http://schemas.openxmlformats.org/drawingml/2006/picture">
            <wp:extent cx="6188399" cy="1624400"/>
            <wp:docPr id="3" name="Picture 3"/>
            <wp:cNvGraphicFramePr>
              <a:graphicFrameLocks noChangeAspect="1"/>
            </wp:cNvGraphicFramePr>
            <a:graphic>
              <a:graphicData uri="http://schemas.openxmlformats.org/drawingml/2006/picture">
                <pic:pic>
                  <pic:nvPicPr>
                    <pic:cNvPr id="0" name="descomposicion.png"/>
                    <pic:cNvPicPr/>
                  </pic:nvPicPr>
                  <pic:blipFill>
                    <a:blip r:embed="rId11"/>
                    <a:stretch>
                      <a:fillRect/>
                    </a:stretch>
                  </pic:blipFill>
                  <pic:spPr>
                    <a:xfrm>
                      <a:off x="0" y="0"/>
                      <a:ext cx="6188399" cy="1624400"/>
                    </a:xfrm>
                    <a:prstGeom prst="rect"/>
                  </pic:spPr>
                </pic:pic>
              </a:graphicData>
            </a:graphic>
          </wp:inline>
        </w:drawing>
      </w:r>
    </w:p>
    <w:p>
      <w:pPr>
        <w:spacing w:after="160"/>
        <w:jc w:val="center"/>
      </w:pPr>
      <w:r>
        <w:rPr>
          <w:b w:val="0"/>
          <w:i/>
          <w:color w:val="6B7585"/>
          <w:sz w:val="18"/>
        </w:rPr>
        <w:t>Figura 1. Descomposición de la solución del experto: en cada paso, las líneas azules son los pares ya asignados, la roja es la acción escogida y los círculos vacíos son las armas libres. Tamaño del objetivo ∝ valor; color = probabilidad de sobrevivir.</w:t>
      </w:r>
    </w:p>
    <w:p>
      <w:pPr>
        <w:pStyle w:val="Heading1"/>
      </w:pPr>
      <w:r>
        <w:t>2. Codificación de la entrada (state2vec)</w:t>
      </w:r>
    </w:p>
    <w:p>
      <w:r>
        <w:rPr>
          <w:b w:val="0"/>
          <w:i w:val="0"/>
        </w:rPr>
        <w:t xml:space="preserve">La entrada no se aplana: es una matriz de forma </w:t>
      </w:r>
      <w:r>
        <w:rPr>
          <w:b/>
          <w:i w:val="0"/>
        </w:rPr>
        <w:t>(1 + W·T, 16)</w:t>
      </w:r>
      <w:r>
        <w:rPr>
          <w:b w:val="0"/>
          <w:i w:val="0"/>
        </w:rPr>
        <w:t xml:space="preserve"> (81 × 16 en las instancias de entrenamiento), con dtype float32. Cada fila se procesa con los mismos pesos:</w:t>
      </w:r>
    </w:p>
    <w:p>
      <w:pPr>
        <w:pStyle w:val="ListBullet"/>
        <w:spacing w:after="40"/>
        <w:ind w:left="510"/>
      </w:pPr>
      <w:r>
        <w:rPr>
          <w:b/>
          <w:i w:val="0"/>
        </w:rPr>
        <w:t>Fila 0: fila global</w:t>
      </w:r>
      <w:r>
        <w:rPr>
          <w:b w:val="0"/>
          <w:i w:val="0"/>
        </w:rPr>
        <w:t xml:space="preserve"> (tipo [CLS]). Resume el estado completo y forma la query de decisión. Se identifica por el flag </w:t>
      </w:r>
      <w:r>
        <w:rPr>
          <w:rFonts w:ascii="Liberation Mono" w:hAnsi="Liberation Mono"/>
          <w:b w:val="0"/>
          <w:i w:val="0"/>
          <w:sz w:val="19"/>
        </w:rPr>
        <w:t>es_global</w:t>
      </w:r>
      <w:r>
        <w:rPr>
          <w:b w:val="0"/>
          <w:i w:val="0"/>
        </w:rPr>
        <w:t xml:space="preserve"> (columna 3) y además está siempre en la posición 0, como la ciudad inicial del TSP. Nunca es una acción válida.</w:t>
      </w:r>
    </w:p>
    <w:p>
      <w:pPr>
        <w:pStyle w:val="ListBullet"/>
        <w:spacing w:after="40"/>
        <w:ind w:left="510"/>
      </w:pPr>
      <w:r>
        <w:rPr>
          <w:b/>
          <w:i w:val="0"/>
        </w:rPr>
        <w:t>Fila 1 + i·T + j: par (arma i → objetivo j).</w:t>
      </w:r>
      <w:r>
        <w:rPr>
          <w:b w:val="0"/>
          <w:i w:val="0"/>
        </w:rPr>
        <w:t xml:space="preserve"> Describe a la vez el estado y la acción “asignar el arma i al objetivo j”. La correspondencia fila ↔ par es fija durante todo el episodio.</w:t>
      </w:r>
    </w:p>
    <w:p>
      <w:r>
        <w:rPr>
          <w:b w:val="0"/>
          <w:i w:val="0"/>
        </w:rPr>
        <w:t xml:space="preserve">Las columnas replican los tres roles del notebook del TSP. Las características relativas al estado se tomaron de lo que miran las heurísticas constructivas del WTAP: la </w:t>
      </w:r>
      <w:r>
        <w:rPr>
          <w:b/>
          <w:i w:val="0"/>
        </w:rPr>
        <w:t>ganancia marginal</w:t>
      </w:r>
      <w:r>
        <w:rPr>
          <w:b w:val="0"/>
          <w:i w:val="0"/>
        </w:rPr>
        <w:t xml:space="preserve"> de MMR, la comparación con otras armas libres (arrepentimiento o regret) y la anticipación que se obtiene al completar la solución con MMR (que en la Tarea 4 resultó la información más valiosa). Sea F el conjunto de armas libres y gᵢⱼ = Vⱼ qⱼ pᵢⱼ.</w:t>
      </w:r>
    </w:p>
    <w:tbl>
      <w:tblPr>
        <w:tblStyle w:val="TableGrid"/>
        <w:tblW w:type="auto" w:w="0"/>
        <w:jc w:val="center"/>
        <w:tblLayout w:type="fixed"/>
        <w:tblLook w:firstColumn="1" w:firstRow="1" w:lastColumn="0" w:lastRow="0" w:noHBand="0" w:noVBand="1" w:val="04A0"/>
      </w:tblPr>
      <w:tblGrid>
        <w:gridCol w:w="454"/>
        <w:gridCol w:w="1757"/>
        <w:gridCol w:w="964"/>
        <w:gridCol w:w="3345"/>
        <w:gridCol w:w="3118"/>
      </w:tblGrid>
      <w:tr>
        <w:trPr>
          <w:cantSplit w:val="true"/>
        </w:trPr>
        <w:tc>
          <w:tcPr>
            <w:tcW w:type="dxa" w:w="454"/>
            <w:vAlign w:val="center"/>
            <w:shd w:val="clear" w:color="auto" w:fill="1B2A41"/>
          </w:tcPr>
          <w:p>
            <w:pPr>
              <w:spacing w:after="0" w:line="240" w:lineRule="auto"/>
              <w:jc w:val="center"/>
            </w:pPr>
            <w:r/>
            <w:r>
              <w:rPr>
                <w:b/>
                <w:i w:val="0"/>
                <w:color w:val="FFFFFF"/>
                <w:sz w:val="17"/>
              </w:rPr>
              <w:t>#</w:t>
            </w:r>
          </w:p>
        </w:tc>
        <w:tc>
          <w:tcPr>
            <w:tcW w:type="dxa" w:w="1757"/>
            <w:vAlign w:val="center"/>
            <w:shd w:val="clear" w:color="auto" w:fill="1B2A41"/>
          </w:tcPr>
          <w:p>
            <w:pPr>
              <w:spacing w:after="0" w:line="240" w:lineRule="auto"/>
              <w:jc w:val="left"/>
            </w:pPr>
            <w:r/>
            <w:r>
              <w:rPr>
                <w:b/>
                <w:i w:val="0"/>
                <w:color w:val="FFFFFF"/>
                <w:sz w:val="17"/>
              </w:rPr>
              <w:t>Columna</w:t>
            </w:r>
          </w:p>
        </w:tc>
        <w:tc>
          <w:tcPr>
            <w:tcW w:type="dxa" w:w="964"/>
            <w:vAlign w:val="center"/>
            <w:shd w:val="clear" w:color="auto" w:fill="1B2A41"/>
          </w:tcPr>
          <w:p>
            <w:pPr>
              <w:spacing w:after="0" w:line="240" w:lineRule="auto"/>
              <w:jc w:val="center"/>
            </w:pPr>
            <w:r/>
            <w:r>
              <w:rPr>
                <w:b/>
                <w:i w:val="0"/>
                <w:color w:val="FFFFFF"/>
                <w:sz w:val="17"/>
              </w:rPr>
              <w:t>Rol</w:t>
            </w:r>
          </w:p>
        </w:tc>
        <w:tc>
          <w:tcPr>
            <w:tcW w:type="dxa" w:w="3345"/>
            <w:vAlign w:val="center"/>
            <w:shd w:val="clear" w:color="auto" w:fill="1B2A41"/>
          </w:tcPr>
          <w:p>
            <w:pPr>
              <w:spacing w:after="0" w:line="240" w:lineRule="auto"/>
              <w:jc w:val="left"/>
            </w:pPr>
            <w:r/>
            <w:r>
              <w:rPr>
                <w:b/>
                <w:i w:val="0"/>
                <w:color w:val="FFFFFF"/>
                <w:sz w:val="17"/>
              </w:rPr>
              <w:t>Contenido</w:t>
            </w:r>
          </w:p>
        </w:tc>
        <w:tc>
          <w:tcPr>
            <w:tcW w:type="dxa" w:w="3118"/>
            <w:vAlign w:val="center"/>
            <w:shd w:val="clear" w:color="auto" w:fill="1B2A41"/>
          </w:tcPr>
          <w:p>
            <w:pPr>
              <w:spacing w:after="0" w:line="240" w:lineRule="auto"/>
              <w:jc w:val="left"/>
            </w:pPr>
            <w:r/>
            <w:r>
              <w:rPr>
                <w:b/>
                <w:i w:val="0"/>
                <w:color w:val="FFFFFF"/>
                <w:sz w:val="17"/>
              </w:rPr>
              <w:t>Por qué ayuda a decidir</w:t>
            </w:r>
          </w:p>
        </w:tc>
      </w:tr>
      <w:tr>
        <w:trPr>
          <w:cantSplit w:val="true"/>
        </w:trPr>
        <w:tc>
          <w:tcPr>
            <w:tcW w:type="dxa" w:w="454"/>
            <w:vAlign w:val="center"/>
            <w:shd w:val="clear" w:color="auto" w:fill="DCEAF7"/>
          </w:tcPr>
          <w:p>
            <w:pPr>
              <w:spacing w:after="0" w:line="240" w:lineRule="auto"/>
              <w:jc w:val="center"/>
            </w:pPr>
            <w:r/>
            <w:r>
              <w:rPr>
                <w:b w:val="0"/>
                <w:i w:val="0"/>
                <w:sz w:val="17"/>
              </w:rPr>
              <w:t>0</w:t>
            </w:r>
          </w:p>
        </w:tc>
        <w:tc>
          <w:tcPr>
            <w:tcW w:type="dxa" w:w="1757"/>
            <w:vAlign w:val="center"/>
            <w:shd w:val="clear" w:color="auto" w:fill="DCEAF7"/>
          </w:tcPr>
          <w:p>
            <w:pPr>
              <w:spacing w:after="0" w:line="240" w:lineRule="auto"/>
              <w:jc w:val="left"/>
            </w:pPr>
            <w:r/>
            <w:r>
              <w:rPr>
                <w:rFonts w:ascii="Liberation Mono" w:hAnsi="Liberation Mono"/>
                <w:b w:val="0"/>
                <w:i w:val="0"/>
                <w:sz w:val="17"/>
              </w:rPr>
              <w:t>p_ij</w:t>
            </w:r>
          </w:p>
        </w:tc>
        <w:tc>
          <w:tcPr>
            <w:tcW w:type="dxa" w:w="964"/>
            <w:vAlign w:val="center"/>
            <w:shd w:val="clear" w:color="auto" w:fill="DCEAF7"/>
          </w:tcPr>
          <w:p>
            <w:pPr>
              <w:spacing w:after="0" w:line="240" w:lineRule="auto"/>
              <w:jc w:val="center"/>
            </w:pPr>
            <w:r/>
            <w:r>
              <w:rPr>
                <w:b w:val="0"/>
                <w:i w:val="0"/>
                <w:sz w:val="17"/>
              </w:rPr>
              <w:t>propia</w:t>
            </w:r>
          </w:p>
        </w:tc>
        <w:tc>
          <w:tcPr>
            <w:tcW w:type="dxa" w:w="3345"/>
            <w:vAlign w:val="center"/>
            <w:shd w:val="clear" w:color="auto" w:fill="DCEAF7"/>
          </w:tcPr>
          <w:p>
            <w:pPr>
              <w:spacing w:after="0" w:line="240" w:lineRule="auto"/>
              <w:jc w:val="left"/>
            </w:pPr>
            <w:r/>
            <w:r>
              <w:rPr>
                <w:b w:val="0"/>
                <w:i w:val="0"/>
                <w:sz w:val="17"/>
              </w:rPr>
              <w:t>pᵢⱼ</w:t>
            </w:r>
          </w:p>
        </w:tc>
        <w:tc>
          <w:tcPr>
            <w:tcW w:type="dxa" w:w="3118"/>
            <w:vAlign w:val="center"/>
            <w:shd w:val="clear" w:color="auto" w:fill="DCEAF7"/>
          </w:tcPr>
          <w:p>
            <w:pPr>
              <w:spacing w:after="0" w:line="240" w:lineRule="auto"/>
              <w:jc w:val="left"/>
            </w:pPr>
            <w:r/>
            <w:r>
              <w:rPr>
                <w:b w:val="0"/>
                <w:i w:val="0"/>
                <w:sz w:val="17"/>
              </w:rPr>
              <w:t>efectividad del arma contra el objetivo</w:t>
            </w:r>
          </w:p>
        </w:tc>
      </w:tr>
      <w:tr>
        <w:trPr>
          <w:cantSplit w:val="true"/>
        </w:trPr>
        <w:tc>
          <w:tcPr>
            <w:tcW w:type="dxa" w:w="454"/>
            <w:vAlign w:val="center"/>
            <w:shd w:val="clear" w:color="auto" w:fill="DCEAF7"/>
          </w:tcPr>
          <w:p>
            <w:pPr>
              <w:spacing w:after="0" w:line="240" w:lineRule="auto"/>
              <w:jc w:val="center"/>
            </w:pPr>
            <w:r/>
            <w:r>
              <w:rPr>
                <w:b w:val="0"/>
                <w:i w:val="0"/>
                <w:sz w:val="17"/>
              </w:rPr>
              <w:t>1</w:t>
            </w:r>
          </w:p>
        </w:tc>
        <w:tc>
          <w:tcPr>
            <w:tcW w:type="dxa" w:w="1757"/>
            <w:vAlign w:val="center"/>
            <w:shd w:val="clear" w:color="auto" w:fill="DCEAF7"/>
          </w:tcPr>
          <w:p>
            <w:pPr>
              <w:spacing w:after="0" w:line="240" w:lineRule="auto"/>
              <w:jc w:val="left"/>
            </w:pPr>
            <w:r/>
            <w:r>
              <w:rPr>
                <w:rFonts w:ascii="Liberation Mono" w:hAnsi="Liberation Mono"/>
                <w:b w:val="0"/>
                <w:i w:val="0"/>
                <w:sz w:val="17"/>
              </w:rPr>
              <w:t>valor</w:t>
            </w:r>
          </w:p>
        </w:tc>
        <w:tc>
          <w:tcPr>
            <w:tcW w:type="dxa" w:w="964"/>
            <w:vAlign w:val="center"/>
            <w:shd w:val="clear" w:color="auto" w:fill="DCEAF7"/>
          </w:tcPr>
          <w:p>
            <w:pPr>
              <w:spacing w:after="0" w:line="240" w:lineRule="auto"/>
              <w:jc w:val="center"/>
            </w:pPr>
            <w:r/>
            <w:r>
              <w:rPr>
                <w:b w:val="0"/>
                <w:i w:val="0"/>
                <w:sz w:val="17"/>
              </w:rPr>
              <w:t>propia</w:t>
            </w:r>
          </w:p>
        </w:tc>
        <w:tc>
          <w:tcPr>
            <w:tcW w:type="dxa" w:w="3345"/>
            <w:vAlign w:val="center"/>
            <w:shd w:val="clear" w:color="auto" w:fill="DCEAF7"/>
          </w:tcPr>
          <w:p>
            <w:pPr>
              <w:spacing w:after="0" w:line="240" w:lineRule="auto"/>
              <w:jc w:val="left"/>
            </w:pPr>
            <w:r/>
            <w:r>
              <w:rPr>
                <w:b w:val="0"/>
                <w:i w:val="0"/>
                <w:sz w:val="17"/>
              </w:rPr>
              <w:t>Vⱼ / max V</w:t>
            </w:r>
          </w:p>
        </w:tc>
        <w:tc>
          <w:tcPr>
            <w:tcW w:type="dxa" w:w="3118"/>
            <w:vAlign w:val="center"/>
            <w:shd w:val="clear" w:color="auto" w:fill="DCEAF7"/>
          </w:tcPr>
          <w:p>
            <w:pPr>
              <w:spacing w:after="0" w:line="240" w:lineRule="auto"/>
              <w:jc w:val="left"/>
            </w:pPr>
            <w:r/>
            <w:r>
              <w:rPr>
                <w:b w:val="0"/>
                <w:i w:val="0"/>
                <w:sz w:val="17"/>
              </w:rPr>
              <w:t>importancia del objetivo</w:t>
            </w:r>
          </w:p>
        </w:tc>
      </w:tr>
      <w:tr>
        <w:trPr>
          <w:cantSplit w:val="true"/>
        </w:trPr>
        <w:tc>
          <w:tcPr>
            <w:tcW w:type="dxa" w:w="454"/>
            <w:vAlign w:val="center"/>
            <w:shd w:val="clear" w:color="auto" w:fill="DCEAF7"/>
          </w:tcPr>
          <w:p>
            <w:pPr>
              <w:spacing w:after="0" w:line="240" w:lineRule="auto"/>
              <w:jc w:val="center"/>
            </w:pPr>
            <w:r/>
            <w:r>
              <w:rPr>
                <w:b w:val="0"/>
                <w:i w:val="0"/>
                <w:sz w:val="17"/>
              </w:rPr>
              <w:t>2</w:t>
            </w:r>
          </w:p>
        </w:tc>
        <w:tc>
          <w:tcPr>
            <w:tcW w:type="dxa" w:w="1757"/>
            <w:vAlign w:val="center"/>
            <w:shd w:val="clear" w:color="auto" w:fill="DCEAF7"/>
          </w:tcPr>
          <w:p>
            <w:pPr>
              <w:spacing w:after="0" w:line="240" w:lineRule="auto"/>
              <w:jc w:val="left"/>
            </w:pPr>
            <w:r/>
            <w:r>
              <w:rPr>
                <w:rFonts w:ascii="Liberation Mono" w:hAnsi="Liberation Mono"/>
                <w:b w:val="0"/>
                <w:i w:val="0"/>
                <w:sz w:val="17"/>
              </w:rPr>
              <w:t>p_vs_mejor</w:t>
            </w:r>
          </w:p>
        </w:tc>
        <w:tc>
          <w:tcPr>
            <w:tcW w:type="dxa" w:w="964"/>
            <w:vAlign w:val="center"/>
            <w:shd w:val="clear" w:color="auto" w:fill="DCEAF7"/>
          </w:tcPr>
          <w:p>
            <w:pPr>
              <w:spacing w:after="0" w:line="240" w:lineRule="auto"/>
              <w:jc w:val="center"/>
            </w:pPr>
            <w:r/>
            <w:r>
              <w:rPr>
                <w:b w:val="0"/>
                <w:i w:val="0"/>
                <w:sz w:val="17"/>
              </w:rPr>
              <w:t>propia</w:t>
            </w:r>
          </w:p>
        </w:tc>
        <w:tc>
          <w:tcPr>
            <w:tcW w:type="dxa" w:w="3345"/>
            <w:vAlign w:val="center"/>
            <w:shd w:val="clear" w:color="auto" w:fill="DCEAF7"/>
          </w:tcPr>
          <w:p>
            <w:pPr>
              <w:spacing w:after="0" w:line="240" w:lineRule="auto"/>
              <w:jc w:val="left"/>
            </w:pPr>
            <w:r/>
            <w:r>
              <w:rPr>
                <w:b w:val="0"/>
                <w:i w:val="0"/>
                <w:sz w:val="17"/>
              </w:rPr>
              <w:t>pᵢⱼ − maxⱼ′ pᵢⱼ′ (≤ 0)</w:t>
            </w:r>
          </w:p>
        </w:tc>
        <w:tc>
          <w:tcPr>
            <w:tcW w:type="dxa" w:w="3118"/>
            <w:vAlign w:val="center"/>
            <w:shd w:val="clear" w:color="auto" w:fill="DCEAF7"/>
          </w:tcPr>
          <w:p>
            <w:pPr>
              <w:spacing w:after="0" w:line="240" w:lineRule="auto"/>
              <w:jc w:val="left"/>
            </w:pPr>
            <w:r/>
            <w:r>
              <w:rPr>
                <w:b w:val="0"/>
                <w:i w:val="0"/>
                <w:sz w:val="17"/>
              </w:rPr>
              <w:t>¿es j el mejor destino posible para el arma i?</w:t>
            </w:r>
          </w:p>
        </w:tc>
      </w:tr>
      <w:tr>
        <w:trPr>
          <w:cantSplit w:val="true"/>
        </w:trPr>
        <w:tc>
          <w:tcPr>
            <w:tcW w:type="dxa" w:w="454"/>
            <w:vAlign w:val="center"/>
            <w:shd w:val="clear" w:color="auto" w:fill="F9DEDC"/>
          </w:tcPr>
          <w:p>
            <w:pPr>
              <w:spacing w:after="0" w:line="240" w:lineRule="auto"/>
              <w:jc w:val="center"/>
            </w:pPr>
            <w:r/>
            <w:r>
              <w:rPr>
                <w:b w:val="0"/>
                <w:i w:val="0"/>
                <w:sz w:val="17"/>
              </w:rPr>
              <w:t>3</w:t>
            </w:r>
          </w:p>
        </w:tc>
        <w:tc>
          <w:tcPr>
            <w:tcW w:type="dxa" w:w="1757"/>
            <w:vAlign w:val="center"/>
            <w:shd w:val="clear" w:color="auto" w:fill="F9DEDC"/>
          </w:tcPr>
          <w:p>
            <w:pPr>
              <w:spacing w:after="0" w:line="240" w:lineRule="auto"/>
              <w:jc w:val="left"/>
            </w:pPr>
            <w:r/>
            <w:r>
              <w:rPr>
                <w:rFonts w:ascii="Liberation Mono" w:hAnsi="Liberation Mono"/>
                <w:b w:val="0"/>
                <w:i w:val="0"/>
                <w:sz w:val="17"/>
              </w:rPr>
              <w:t>es_global</w:t>
            </w:r>
          </w:p>
        </w:tc>
        <w:tc>
          <w:tcPr>
            <w:tcW w:type="dxa" w:w="964"/>
            <w:vAlign w:val="center"/>
            <w:shd w:val="clear" w:color="auto" w:fill="F9DEDC"/>
          </w:tcPr>
          <w:p>
            <w:pPr>
              <w:spacing w:after="0" w:line="240" w:lineRule="auto"/>
              <w:jc w:val="center"/>
            </w:pPr>
            <w:r/>
            <w:r>
              <w:rPr>
                <w:b w:val="0"/>
                <w:i w:val="0"/>
                <w:sz w:val="17"/>
              </w:rPr>
              <w:t>flag</w:t>
            </w:r>
          </w:p>
        </w:tc>
        <w:tc>
          <w:tcPr>
            <w:tcW w:type="dxa" w:w="3345"/>
            <w:vAlign w:val="center"/>
            <w:shd w:val="clear" w:color="auto" w:fill="F9DEDC"/>
          </w:tcPr>
          <w:p>
            <w:pPr>
              <w:spacing w:after="0" w:line="240" w:lineRule="auto"/>
              <w:jc w:val="left"/>
            </w:pPr>
            <w:r/>
            <w:r>
              <w:rPr>
                <w:b w:val="0"/>
                <w:i w:val="0"/>
                <w:sz w:val="17"/>
              </w:rPr>
              <w:t>1 solo en la fila 0</w:t>
            </w:r>
          </w:p>
        </w:tc>
        <w:tc>
          <w:tcPr>
            <w:tcW w:type="dxa" w:w="3118"/>
            <w:vAlign w:val="center"/>
            <w:shd w:val="clear" w:color="auto" w:fill="F9DEDC"/>
          </w:tcPr>
          <w:p>
            <w:pPr>
              <w:spacing w:after="0" w:line="240" w:lineRule="auto"/>
              <w:jc w:val="left"/>
            </w:pPr>
            <w:r/>
            <w:r>
              <w:rPr>
                <w:b w:val="0"/>
                <w:i w:val="0"/>
                <w:sz w:val="17"/>
              </w:rPr>
              <w:t>marca la fila que construye la query de decisión</w:t>
            </w:r>
          </w:p>
        </w:tc>
      </w:tr>
      <w:tr>
        <w:trPr>
          <w:cantSplit w:val="true"/>
        </w:trPr>
        <w:tc>
          <w:tcPr>
            <w:tcW w:type="dxa" w:w="454"/>
            <w:vAlign w:val="center"/>
            <w:shd w:val="clear" w:color="auto" w:fill="F9DEDC"/>
          </w:tcPr>
          <w:p>
            <w:pPr>
              <w:spacing w:after="0" w:line="240" w:lineRule="auto"/>
              <w:jc w:val="center"/>
            </w:pPr>
            <w:r/>
            <w:r>
              <w:rPr>
                <w:b w:val="0"/>
                <w:i w:val="0"/>
                <w:sz w:val="17"/>
              </w:rPr>
              <w:t>4</w:t>
            </w:r>
          </w:p>
        </w:tc>
        <w:tc>
          <w:tcPr>
            <w:tcW w:type="dxa" w:w="1757"/>
            <w:vAlign w:val="center"/>
            <w:shd w:val="clear" w:color="auto" w:fill="F9DEDC"/>
          </w:tcPr>
          <w:p>
            <w:pPr>
              <w:spacing w:after="0" w:line="240" w:lineRule="auto"/>
              <w:jc w:val="left"/>
            </w:pPr>
            <w:r/>
            <w:r>
              <w:rPr>
                <w:rFonts w:ascii="Liberation Mono" w:hAnsi="Liberation Mono"/>
                <w:b w:val="0"/>
                <w:i w:val="0"/>
                <w:sz w:val="17"/>
              </w:rPr>
              <w:t>no_disponible</w:t>
            </w:r>
          </w:p>
        </w:tc>
        <w:tc>
          <w:tcPr>
            <w:tcW w:type="dxa" w:w="964"/>
            <w:vAlign w:val="center"/>
            <w:shd w:val="clear" w:color="auto" w:fill="F9DEDC"/>
          </w:tcPr>
          <w:p>
            <w:pPr>
              <w:spacing w:after="0" w:line="240" w:lineRule="auto"/>
              <w:jc w:val="center"/>
            </w:pPr>
            <w:r/>
            <w:r>
              <w:rPr>
                <w:b w:val="0"/>
                <w:i w:val="0"/>
                <w:sz w:val="17"/>
              </w:rPr>
              <w:t>flag</w:t>
            </w:r>
          </w:p>
        </w:tc>
        <w:tc>
          <w:tcPr>
            <w:tcW w:type="dxa" w:w="3345"/>
            <w:vAlign w:val="center"/>
            <w:shd w:val="clear" w:color="auto" w:fill="F9DEDC"/>
          </w:tcPr>
          <w:p>
            <w:pPr>
              <w:spacing w:after="0" w:line="240" w:lineRule="auto"/>
              <w:jc w:val="left"/>
            </w:pPr>
            <w:r/>
            <w:r>
              <w:rPr>
                <w:b w:val="0"/>
                <w:i w:val="0"/>
                <w:sz w:val="17"/>
              </w:rPr>
              <w:t>1 si el arma i ya fue asignada, o si es la fila global</w:t>
            </w:r>
          </w:p>
        </w:tc>
        <w:tc>
          <w:tcPr>
            <w:tcW w:type="dxa" w:w="3118"/>
            <w:vAlign w:val="center"/>
            <w:shd w:val="clear" w:color="auto" w:fill="F9DEDC"/>
          </w:tcPr>
          <w:p>
            <w:pPr>
              <w:spacing w:after="0" w:line="240" w:lineRule="auto"/>
              <w:jc w:val="left"/>
            </w:pPr>
            <w:r/>
            <w:r>
              <w:rPr>
                <w:b w:val="0"/>
                <w:i w:val="0"/>
                <w:sz w:val="17"/>
              </w:rPr>
              <w:t>MÁSCARA: logit −10⁹</w:t>
            </w:r>
          </w:p>
        </w:tc>
      </w:tr>
      <w:tr>
        <w:trPr>
          <w:cantSplit w:val="true"/>
        </w:trPr>
        <w:tc>
          <w:tcPr>
            <w:tcW w:type="dxa" w:w="454"/>
            <w:vAlign w:val="center"/>
            <w:shd w:val="clear" w:color="auto" w:fill="F9DEDC"/>
          </w:tcPr>
          <w:p>
            <w:pPr>
              <w:spacing w:after="0" w:line="240" w:lineRule="auto"/>
              <w:jc w:val="center"/>
            </w:pPr>
            <w:r/>
            <w:r>
              <w:rPr>
                <w:b w:val="0"/>
                <w:i w:val="0"/>
                <w:sz w:val="17"/>
              </w:rPr>
              <w:t>5</w:t>
            </w:r>
          </w:p>
        </w:tc>
        <w:tc>
          <w:tcPr>
            <w:tcW w:type="dxa" w:w="1757"/>
            <w:vAlign w:val="center"/>
            <w:shd w:val="clear" w:color="auto" w:fill="F9DEDC"/>
          </w:tcPr>
          <w:p>
            <w:pPr>
              <w:spacing w:after="0" w:line="240" w:lineRule="auto"/>
              <w:jc w:val="left"/>
            </w:pPr>
            <w:r/>
            <w:r>
              <w:rPr>
                <w:rFonts w:ascii="Liberation Mono" w:hAnsi="Liberation Mono"/>
                <w:b w:val="0"/>
                <w:i w:val="0"/>
                <w:sz w:val="17"/>
              </w:rPr>
              <w:t>asignado</w:t>
            </w:r>
          </w:p>
        </w:tc>
        <w:tc>
          <w:tcPr>
            <w:tcW w:type="dxa" w:w="964"/>
            <w:vAlign w:val="center"/>
            <w:shd w:val="clear" w:color="auto" w:fill="F9DEDC"/>
          </w:tcPr>
          <w:p>
            <w:pPr>
              <w:spacing w:after="0" w:line="240" w:lineRule="auto"/>
              <w:jc w:val="center"/>
            </w:pPr>
            <w:r/>
            <w:r>
              <w:rPr>
                <w:b w:val="0"/>
                <w:i w:val="0"/>
                <w:sz w:val="17"/>
              </w:rPr>
              <w:t>flag</w:t>
            </w:r>
          </w:p>
        </w:tc>
        <w:tc>
          <w:tcPr>
            <w:tcW w:type="dxa" w:w="3345"/>
            <w:vAlign w:val="center"/>
            <w:shd w:val="clear" w:color="auto" w:fill="F9DEDC"/>
          </w:tcPr>
          <w:p>
            <w:pPr>
              <w:spacing w:after="0" w:line="240" w:lineRule="auto"/>
              <w:jc w:val="left"/>
            </w:pPr>
            <w:r/>
            <w:r>
              <w:rPr>
                <w:b w:val="0"/>
                <w:i w:val="0"/>
                <w:sz w:val="17"/>
              </w:rPr>
              <w:t>1 si xᵢⱼ = 1 en la solución parcial</w:t>
            </w:r>
          </w:p>
        </w:tc>
        <w:tc>
          <w:tcPr>
            <w:tcW w:type="dxa" w:w="3118"/>
            <w:vAlign w:val="center"/>
            <w:shd w:val="clear" w:color="auto" w:fill="F9DEDC"/>
          </w:tcPr>
          <w:p>
            <w:pPr>
              <w:spacing w:after="0" w:line="240" w:lineRule="auto"/>
              <w:jc w:val="left"/>
            </w:pPr>
            <w:r/>
            <w:r>
              <w:rPr>
                <w:b w:val="0"/>
                <w:i w:val="0"/>
                <w:sz w:val="17"/>
              </w:rPr>
              <w:t>qué pares ya se eligieron (contexto)</w:t>
            </w:r>
          </w:p>
        </w:tc>
      </w:tr>
      <w:tr>
        <w:trPr>
          <w:cantSplit w:val="true"/>
        </w:trPr>
        <w:tc>
          <w:tcPr>
            <w:tcW w:type="dxa" w:w="454"/>
            <w:vAlign w:val="center"/>
            <w:shd w:val="clear" w:color="auto" w:fill="DFF0DF"/>
          </w:tcPr>
          <w:p>
            <w:pPr>
              <w:spacing w:after="0" w:line="240" w:lineRule="auto"/>
              <w:jc w:val="center"/>
            </w:pPr>
            <w:r/>
            <w:r>
              <w:rPr>
                <w:b w:val="0"/>
                <w:i w:val="0"/>
                <w:sz w:val="17"/>
              </w:rPr>
              <w:t>6</w:t>
            </w:r>
          </w:p>
        </w:tc>
        <w:tc>
          <w:tcPr>
            <w:tcW w:type="dxa" w:w="1757"/>
            <w:vAlign w:val="center"/>
            <w:shd w:val="clear" w:color="auto" w:fill="DFF0DF"/>
          </w:tcPr>
          <w:p>
            <w:pPr>
              <w:spacing w:after="0" w:line="240" w:lineRule="auto"/>
              <w:jc w:val="left"/>
            </w:pPr>
            <w:r/>
            <w:r>
              <w:rPr>
                <w:rFonts w:ascii="Liberation Mono" w:hAnsi="Liberation Mono"/>
                <w:b w:val="0"/>
                <w:i w:val="0"/>
                <w:sz w:val="17"/>
              </w:rPr>
              <w:t>q_sobrevive</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qⱼ</w:t>
            </w:r>
          </w:p>
        </w:tc>
        <w:tc>
          <w:tcPr>
            <w:tcW w:type="dxa" w:w="3118"/>
            <w:vAlign w:val="center"/>
            <w:shd w:val="clear" w:color="auto" w:fill="DFF0DF"/>
          </w:tcPr>
          <w:p>
            <w:pPr>
              <w:spacing w:after="0" w:line="240" w:lineRule="auto"/>
              <w:jc w:val="left"/>
            </w:pPr>
            <w:r/>
            <w:r>
              <w:rPr>
                <w:b w:val="0"/>
                <w:i w:val="0"/>
                <w:sz w:val="17"/>
              </w:rPr>
              <w:t>cuánto queda por destruir en j</w:t>
            </w:r>
          </w:p>
        </w:tc>
      </w:tr>
      <w:tr>
        <w:trPr>
          <w:cantSplit w:val="true"/>
        </w:trPr>
        <w:tc>
          <w:tcPr>
            <w:tcW w:type="dxa" w:w="454"/>
            <w:vAlign w:val="center"/>
            <w:shd w:val="clear" w:color="auto" w:fill="DFF0DF"/>
          </w:tcPr>
          <w:p>
            <w:pPr>
              <w:spacing w:after="0" w:line="240" w:lineRule="auto"/>
              <w:jc w:val="center"/>
            </w:pPr>
            <w:r/>
            <w:r>
              <w:rPr>
                <w:b w:val="0"/>
                <w:i w:val="0"/>
                <w:sz w:val="17"/>
              </w:rPr>
              <w:t>7</w:t>
            </w:r>
          </w:p>
        </w:tc>
        <w:tc>
          <w:tcPr>
            <w:tcW w:type="dxa" w:w="1757"/>
            <w:vAlign w:val="center"/>
            <w:shd w:val="clear" w:color="auto" w:fill="DFF0DF"/>
          </w:tcPr>
          <w:p>
            <w:pPr>
              <w:spacing w:after="0" w:line="240" w:lineRule="auto"/>
              <w:jc w:val="left"/>
            </w:pPr>
            <w:r/>
            <w:r>
              <w:rPr>
                <w:rFonts w:ascii="Liberation Mono" w:hAnsi="Liberation Mono"/>
                <w:b w:val="0"/>
                <w:i w:val="0"/>
                <w:sz w:val="17"/>
              </w:rPr>
              <w:t>valor_en_juego</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Vⱼ qⱼ / max V   (fila global: Σ V q / Σ V)</w:t>
            </w:r>
          </w:p>
        </w:tc>
        <w:tc>
          <w:tcPr>
            <w:tcW w:type="dxa" w:w="3118"/>
            <w:vAlign w:val="center"/>
            <w:shd w:val="clear" w:color="auto" w:fill="DFF0DF"/>
          </w:tcPr>
          <w:p>
            <w:pPr>
              <w:spacing w:after="0" w:line="240" w:lineRule="auto"/>
              <w:jc w:val="left"/>
            </w:pPr>
            <w:r/>
            <w:r>
              <w:rPr>
                <w:b w:val="0"/>
                <w:i w:val="0"/>
                <w:sz w:val="17"/>
              </w:rPr>
              <w:t>valor que aún se puede ganar en j</w:t>
            </w:r>
          </w:p>
        </w:tc>
      </w:tr>
      <w:tr>
        <w:trPr>
          <w:cantSplit w:val="true"/>
        </w:trPr>
        <w:tc>
          <w:tcPr>
            <w:tcW w:type="dxa" w:w="454"/>
            <w:vAlign w:val="center"/>
            <w:shd w:val="clear" w:color="auto" w:fill="DFF0DF"/>
          </w:tcPr>
          <w:p>
            <w:pPr>
              <w:spacing w:after="0" w:line="240" w:lineRule="auto"/>
              <w:jc w:val="center"/>
            </w:pPr>
            <w:r/>
            <w:r>
              <w:rPr>
                <w:b w:val="0"/>
                <w:i w:val="0"/>
                <w:sz w:val="17"/>
              </w:rPr>
              <w:t>8</w:t>
            </w:r>
          </w:p>
        </w:tc>
        <w:tc>
          <w:tcPr>
            <w:tcW w:type="dxa" w:w="1757"/>
            <w:vAlign w:val="center"/>
            <w:shd w:val="clear" w:color="auto" w:fill="DFF0DF"/>
          </w:tcPr>
          <w:p>
            <w:pPr>
              <w:spacing w:after="0" w:line="240" w:lineRule="auto"/>
              <w:jc w:val="left"/>
            </w:pPr>
            <w:r/>
            <w:r>
              <w:rPr>
                <w:rFonts w:ascii="Liberation Mono" w:hAnsi="Liberation Mono"/>
                <w:b w:val="0"/>
                <w:i w:val="0"/>
                <w:sz w:val="17"/>
              </w:rPr>
              <w:t>ganancia ★</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gᵢⱼ / max g sobre pares disponibles</w:t>
            </w:r>
          </w:p>
        </w:tc>
        <w:tc>
          <w:tcPr>
            <w:tcW w:type="dxa" w:w="3118"/>
            <w:vAlign w:val="center"/>
            <w:shd w:val="clear" w:color="auto" w:fill="DFF0DF"/>
          </w:tcPr>
          <w:p>
            <w:pPr>
              <w:spacing w:after="0" w:line="240" w:lineRule="auto"/>
              <w:jc w:val="left"/>
            </w:pPr>
            <w:r/>
            <w:r>
              <w:rPr>
                <w:b w:val="0"/>
                <w:i w:val="0"/>
                <w:sz w:val="17"/>
              </w:rPr>
              <w:t>criterio de MMR (análogo a dist_a_actual)</w:t>
            </w:r>
          </w:p>
        </w:tc>
      </w:tr>
      <w:tr>
        <w:trPr>
          <w:cantSplit w:val="true"/>
        </w:trPr>
        <w:tc>
          <w:tcPr>
            <w:tcW w:type="dxa" w:w="454"/>
            <w:vAlign w:val="center"/>
            <w:shd w:val="clear" w:color="auto" w:fill="DFF0DF"/>
          </w:tcPr>
          <w:p>
            <w:pPr>
              <w:spacing w:after="0" w:line="240" w:lineRule="auto"/>
              <w:jc w:val="center"/>
            </w:pPr>
            <w:r/>
            <w:r>
              <w:rPr>
                <w:b w:val="0"/>
                <w:i w:val="0"/>
                <w:sz w:val="17"/>
              </w:rPr>
              <w:t>9</w:t>
            </w:r>
          </w:p>
        </w:tc>
        <w:tc>
          <w:tcPr>
            <w:tcW w:type="dxa" w:w="1757"/>
            <w:vAlign w:val="center"/>
            <w:shd w:val="clear" w:color="auto" w:fill="DFF0DF"/>
          </w:tcPr>
          <w:p>
            <w:pPr>
              <w:spacing w:after="0" w:line="240" w:lineRule="auto"/>
              <w:jc w:val="left"/>
            </w:pPr>
            <w:r/>
            <w:r>
              <w:rPr>
                <w:rFonts w:ascii="Liberation Mono" w:hAnsi="Liberation Mono"/>
                <w:b w:val="0"/>
                <w:i w:val="0"/>
                <w:sz w:val="17"/>
              </w:rPr>
              <w:t>es_mmr</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1 si (i, j) es el par que elegiría MMR</w:t>
            </w:r>
          </w:p>
        </w:tc>
        <w:tc>
          <w:tcPr>
            <w:tcW w:type="dxa" w:w="3118"/>
            <w:vAlign w:val="center"/>
            <w:shd w:val="clear" w:color="auto" w:fill="DFF0DF"/>
          </w:tcPr>
          <w:p>
            <w:pPr>
              <w:spacing w:after="0" w:line="240" w:lineRule="auto"/>
              <w:jc w:val="left"/>
            </w:pPr>
            <w:r/>
            <w:r>
              <w:rPr>
                <w:b w:val="0"/>
                <w:i w:val="0"/>
                <w:sz w:val="17"/>
              </w:rPr>
              <w:t>elección de la heurística clásica</w:t>
            </w:r>
          </w:p>
        </w:tc>
      </w:tr>
      <w:tr>
        <w:trPr>
          <w:cantSplit w:val="true"/>
        </w:trPr>
        <w:tc>
          <w:tcPr>
            <w:tcW w:type="dxa" w:w="454"/>
            <w:vAlign w:val="center"/>
            <w:shd w:val="clear" w:color="auto" w:fill="DFF0DF"/>
          </w:tcPr>
          <w:p>
            <w:pPr>
              <w:spacing w:after="0" w:line="240" w:lineRule="auto"/>
              <w:jc w:val="center"/>
            </w:pPr>
            <w:r/>
            <w:r>
              <w:rPr>
                <w:b w:val="0"/>
                <w:i w:val="0"/>
                <w:sz w:val="17"/>
              </w:rPr>
              <w:t>10</w:t>
            </w:r>
          </w:p>
        </w:tc>
        <w:tc>
          <w:tcPr>
            <w:tcW w:type="dxa" w:w="1757"/>
            <w:vAlign w:val="center"/>
            <w:shd w:val="clear" w:color="auto" w:fill="DFF0DF"/>
          </w:tcPr>
          <w:p>
            <w:pPr>
              <w:spacing w:after="0" w:line="240" w:lineRule="auto"/>
              <w:jc w:val="left"/>
            </w:pPr>
            <w:r/>
            <w:r>
              <w:rPr>
                <w:rFonts w:ascii="Liberation Mono" w:hAnsi="Liberation Mono"/>
                <w:b w:val="0"/>
                <w:i w:val="0"/>
                <w:sz w:val="17"/>
              </w:rPr>
              <w:t>armas_en_obj</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nº de armas ya asignadas a j / W</w:t>
            </w:r>
          </w:p>
        </w:tc>
        <w:tc>
          <w:tcPr>
            <w:tcW w:type="dxa" w:w="3118"/>
            <w:vAlign w:val="center"/>
            <w:shd w:val="clear" w:color="auto" w:fill="DFF0DF"/>
          </w:tcPr>
          <w:p>
            <w:pPr>
              <w:spacing w:after="0" w:line="240" w:lineRule="auto"/>
              <w:jc w:val="left"/>
            </w:pPr>
            <w:r/>
            <w:r>
              <w:rPr>
                <w:b w:val="0"/>
                <w:i w:val="0"/>
                <w:sz w:val="17"/>
              </w:rPr>
              <w:t>rendimientos decrecientes</w:t>
            </w:r>
          </w:p>
        </w:tc>
      </w:tr>
      <w:tr>
        <w:trPr>
          <w:cantSplit w:val="true"/>
        </w:trPr>
        <w:tc>
          <w:tcPr>
            <w:tcW w:type="dxa" w:w="454"/>
            <w:vAlign w:val="center"/>
            <w:shd w:val="clear" w:color="auto" w:fill="DFF0DF"/>
          </w:tcPr>
          <w:p>
            <w:pPr>
              <w:spacing w:after="0" w:line="240" w:lineRule="auto"/>
              <w:jc w:val="center"/>
            </w:pPr>
            <w:r/>
            <w:r>
              <w:rPr>
                <w:b w:val="0"/>
                <w:i w:val="0"/>
                <w:sz w:val="17"/>
              </w:rPr>
              <w:t>11</w:t>
            </w:r>
          </w:p>
        </w:tc>
        <w:tc>
          <w:tcPr>
            <w:tcW w:type="dxa" w:w="1757"/>
            <w:vAlign w:val="center"/>
            <w:shd w:val="clear" w:color="auto" w:fill="DFF0DF"/>
          </w:tcPr>
          <w:p>
            <w:pPr>
              <w:spacing w:after="0" w:line="240" w:lineRule="auto"/>
              <w:jc w:val="left"/>
            </w:pPr>
            <w:r/>
            <w:r>
              <w:rPr>
                <w:rFonts w:ascii="Liberation Mono" w:hAnsi="Liberation Mono"/>
                <w:b w:val="0"/>
                <w:i w:val="0"/>
                <w:sz w:val="17"/>
              </w:rPr>
              <w:t>ventaja</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pᵢⱼ − media_{i′∈F} pᵢ′ⱼ</w:t>
            </w:r>
          </w:p>
        </w:tc>
        <w:tc>
          <w:tcPr>
            <w:tcW w:type="dxa" w:w="3118"/>
            <w:vAlign w:val="center"/>
            <w:shd w:val="clear" w:color="auto" w:fill="DFF0DF"/>
          </w:tcPr>
          <w:p>
            <w:pPr>
              <w:spacing w:after="0" w:line="240" w:lineRule="auto"/>
              <w:jc w:val="left"/>
            </w:pPr>
            <w:r/>
            <w:r>
              <w:rPr>
                <w:b w:val="0"/>
                <w:i w:val="0"/>
                <w:sz w:val="17"/>
              </w:rPr>
              <w:t>¿es esta arma comparativamente buena para j?</w:t>
            </w:r>
          </w:p>
        </w:tc>
      </w:tr>
      <w:tr>
        <w:trPr>
          <w:cantSplit w:val="true"/>
        </w:trPr>
        <w:tc>
          <w:tcPr>
            <w:tcW w:type="dxa" w:w="454"/>
            <w:vAlign w:val="center"/>
            <w:shd w:val="clear" w:color="auto" w:fill="DFF0DF"/>
          </w:tcPr>
          <w:p>
            <w:pPr>
              <w:spacing w:after="0" w:line="240" w:lineRule="auto"/>
              <w:jc w:val="center"/>
            </w:pPr>
            <w:r/>
            <w:r>
              <w:rPr>
                <w:b w:val="0"/>
                <w:i w:val="0"/>
                <w:sz w:val="17"/>
              </w:rPr>
              <w:t>12</w:t>
            </w:r>
          </w:p>
        </w:tc>
        <w:tc>
          <w:tcPr>
            <w:tcW w:type="dxa" w:w="1757"/>
            <w:vAlign w:val="center"/>
            <w:shd w:val="clear" w:color="auto" w:fill="DFF0DF"/>
          </w:tcPr>
          <w:p>
            <w:pPr>
              <w:spacing w:after="0" w:line="240" w:lineRule="auto"/>
              <w:jc w:val="left"/>
            </w:pPr>
            <w:r/>
            <w:r>
              <w:rPr>
                <w:rFonts w:ascii="Liberation Mono" w:hAnsi="Liberation Mono"/>
                <w:b w:val="0"/>
                <w:i w:val="0"/>
                <w:sz w:val="17"/>
              </w:rPr>
              <w:t>arrepentimiento</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(gᵢⱼ − max_{i′∈F, i′≠i} gᵢ′ⱼ) / max g</w:t>
            </w:r>
          </w:p>
        </w:tc>
        <w:tc>
          <w:tcPr>
            <w:tcW w:type="dxa" w:w="3118"/>
            <w:vAlign w:val="center"/>
            <w:shd w:val="clear" w:color="auto" w:fill="DFF0DF"/>
          </w:tcPr>
          <w:p>
            <w:pPr>
              <w:spacing w:after="0" w:line="240" w:lineRule="auto"/>
              <w:jc w:val="left"/>
            </w:pPr>
            <w:r/>
            <w:r>
              <w:rPr>
                <w:b w:val="0"/>
                <w:i w:val="0"/>
                <w:sz w:val="17"/>
              </w:rPr>
              <w:t>¿otra arma libre aprovecharía mejor j?</w:t>
            </w:r>
          </w:p>
        </w:tc>
      </w:tr>
      <w:tr>
        <w:trPr>
          <w:cantSplit w:val="true"/>
        </w:trPr>
        <w:tc>
          <w:tcPr>
            <w:tcW w:type="dxa" w:w="454"/>
            <w:vAlign w:val="center"/>
            <w:shd w:val="clear" w:color="auto" w:fill="DFF0DF"/>
          </w:tcPr>
          <w:p>
            <w:pPr>
              <w:spacing w:after="0" w:line="240" w:lineRule="auto"/>
              <w:jc w:val="center"/>
            </w:pPr>
            <w:r/>
            <w:r>
              <w:rPr>
                <w:b w:val="0"/>
                <w:i w:val="0"/>
                <w:sz w:val="17"/>
              </w:rPr>
              <w:t>13</w:t>
            </w:r>
          </w:p>
        </w:tc>
        <w:tc>
          <w:tcPr>
            <w:tcW w:type="dxa" w:w="1757"/>
            <w:vAlign w:val="center"/>
            <w:shd w:val="clear" w:color="auto" w:fill="DFF0DF"/>
          </w:tcPr>
          <w:p>
            <w:pPr>
              <w:spacing w:after="0" w:line="240" w:lineRule="auto"/>
              <w:jc w:val="left"/>
            </w:pPr>
            <w:r/>
            <w:r>
              <w:rPr>
                <w:rFonts w:ascii="Liberation Mono" w:hAnsi="Liberation Mono"/>
                <w:b w:val="0"/>
                <w:i w:val="0"/>
                <w:sz w:val="17"/>
              </w:rPr>
              <w:t>mmr_completa ★</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1 si al completar con MMR el arma i va a j</w:t>
            </w:r>
          </w:p>
        </w:tc>
        <w:tc>
          <w:tcPr>
            <w:tcW w:type="dxa" w:w="3118"/>
            <w:vAlign w:val="center"/>
            <w:shd w:val="clear" w:color="auto" w:fill="DFF0DF"/>
          </w:tcPr>
          <w:p>
            <w:pPr>
              <w:spacing w:after="0" w:line="240" w:lineRule="auto"/>
              <w:jc w:val="left"/>
            </w:pPr>
            <w:r/>
            <w:r>
              <w:rPr>
                <w:b w:val="0"/>
                <w:i w:val="0"/>
                <w:sz w:val="17"/>
              </w:rPr>
              <w:t>anticipación de decisiones futuras</w:t>
            </w:r>
          </w:p>
        </w:tc>
      </w:tr>
      <w:tr>
        <w:trPr>
          <w:cantSplit w:val="true"/>
        </w:trPr>
        <w:tc>
          <w:tcPr>
            <w:tcW w:type="dxa" w:w="454"/>
            <w:vAlign w:val="center"/>
            <w:shd w:val="clear" w:color="auto" w:fill="DFF0DF"/>
          </w:tcPr>
          <w:p>
            <w:pPr>
              <w:spacing w:after="0" w:line="240" w:lineRule="auto"/>
              <w:jc w:val="center"/>
            </w:pPr>
            <w:r/>
            <w:r>
              <w:rPr>
                <w:b w:val="0"/>
                <w:i w:val="0"/>
                <w:sz w:val="17"/>
              </w:rPr>
              <w:t>14</w:t>
            </w:r>
          </w:p>
        </w:tc>
        <w:tc>
          <w:tcPr>
            <w:tcW w:type="dxa" w:w="1757"/>
            <w:vAlign w:val="center"/>
            <w:shd w:val="clear" w:color="auto" w:fill="DFF0DF"/>
          </w:tcPr>
          <w:p>
            <w:pPr>
              <w:spacing w:after="0" w:line="240" w:lineRule="auto"/>
              <w:jc w:val="left"/>
            </w:pPr>
            <w:r/>
            <w:r>
              <w:rPr>
                <w:rFonts w:ascii="Liberation Mono" w:hAnsi="Liberation Mono"/>
                <w:b w:val="0"/>
                <w:i w:val="0"/>
                <w:sz w:val="17"/>
              </w:rPr>
              <w:t>q_final_mmr</w:t>
            </w:r>
          </w:p>
        </w:tc>
        <w:tc>
          <w:tcPr>
            <w:tcW w:type="dxa" w:w="964"/>
            <w:vAlign w:val="center"/>
            <w:shd w:val="clear" w:color="auto" w:fill="DFF0DF"/>
          </w:tcPr>
          <w:p>
            <w:pPr>
              <w:spacing w:after="0" w:line="240" w:lineRule="auto"/>
              <w:jc w:val="center"/>
            </w:pPr>
            <w:r/>
            <w:r>
              <w:rPr>
                <w:b w:val="0"/>
                <w:i w:val="0"/>
                <w:sz w:val="17"/>
              </w:rPr>
              <w:t>relativa</w:t>
            </w:r>
          </w:p>
        </w:tc>
        <w:tc>
          <w:tcPr>
            <w:tcW w:type="dxa" w:w="3345"/>
            <w:vAlign w:val="center"/>
            <w:shd w:val="clear" w:color="auto" w:fill="DFF0DF"/>
          </w:tcPr>
          <w:p>
            <w:pPr>
              <w:spacing w:after="0" w:line="240" w:lineRule="auto"/>
              <w:jc w:val="left"/>
            </w:pPr>
            <w:r/>
            <w:r>
              <w:rPr>
                <w:b w:val="0"/>
                <w:i w:val="0"/>
                <w:sz w:val="17"/>
              </w:rPr>
              <w:t>qⱼ al completar con MMR</w:t>
            </w:r>
          </w:p>
        </w:tc>
        <w:tc>
          <w:tcPr>
            <w:tcW w:type="dxa" w:w="3118"/>
            <w:vAlign w:val="center"/>
            <w:shd w:val="clear" w:color="auto" w:fill="DFF0DF"/>
          </w:tcPr>
          <w:p>
            <w:pPr>
              <w:spacing w:after="0" w:line="240" w:lineRule="auto"/>
              <w:jc w:val="left"/>
            </w:pPr>
            <w:r/>
            <w:r>
              <w:rPr>
                <w:b w:val="0"/>
                <w:i w:val="0"/>
                <w:sz w:val="17"/>
              </w:rPr>
              <w:t>¿quedará j bien cubierto al final?</w:t>
            </w:r>
          </w:p>
        </w:tc>
      </w:tr>
      <w:tr>
        <w:trPr>
          <w:cantSplit w:val="true"/>
        </w:trPr>
        <w:tc>
          <w:tcPr>
            <w:tcW w:type="dxa" w:w="454"/>
            <w:vAlign w:val="center"/>
            <w:shd w:val="clear" w:color="auto" w:fill="EEEEEE"/>
          </w:tcPr>
          <w:p>
            <w:pPr>
              <w:spacing w:after="0" w:line="240" w:lineRule="auto"/>
              <w:jc w:val="center"/>
            </w:pPr>
            <w:r/>
            <w:r>
              <w:rPr>
                <w:b w:val="0"/>
                <w:i w:val="0"/>
                <w:sz w:val="17"/>
              </w:rPr>
              <w:t>15</w:t>
            </w:r>
          </w:p>
        </w:tc>
        <w:tc>
          <w:tcPr>
            <w:tcW w:type="dxa" w:w="1757"/>
            <w:vAlign w:val="center"/>
            <w:shd w:val="clear" w:color="auto" w:fill="EEEEEE"/>
          </w:tcPr>
          <w:p>
            <w:pPr>
              <w:spacing w:after="0" w:line="240" w:lineRule="auto"/>
              <w:jc w:val="left"/>
            </w:pPr>
            <w:r/>
            <w:r>
              <w:rPr>
                <w:rFonts w:ascii="Liberation Mono" w:hAnsi="Liberation Mono"/>
                <w:b w:val="0"/>
                <w:i w:val="0"/>
                <w:sz w:val="17"/>
              </w:rPr>
              <w:t>frac_restantes</w:t>
            </w:r>
          </w:p>
        </w:tc>
        <w:tc>
          <w:tcPr>
            <w:tcW w:type="dxa" w:w="964"/>
            <w:vAlign w:val="center"/>
            <w:shd w:val="clear" w:color="auto" w:fill="EEEEEE"/>
          </w:tcPr>
          <w:p>
            <w:pPr>
              <w:spacing w:after="0" w:line="240" w:lineRule="auto"/>
              <w:jc w:val="center"/>
            </w:pPr>
            <w:r/>
            <w:r>
              <w:rPr>
                <w:b w:val="0"/>
                <w:i w:val="0"/>
                <w:sz w:val="17"/>
              </w:rPr>
              <w:t>global</w:t>
            </w:r>
          </w:p>
        </w:tc>
        <w:tc>
          <w:tcPr>
            <w:tcW w:type="dxa" w:w="3345"/>
            <w:vAlign w:val="center"/>
            <w:shd w:val="clear" w:color="auto" w:fill="EEEEEE"/>
          </w:tcPr>
          <w:p>
            <w:pPr>
              <w:spacing w:after="0" w:line="240" w:lineRule="auto"/>
              <w:jc w:val="left"/>
            </w:pPr>
            <w:r/>
            <w:r>
              <w:rPr>
                <w:b w:val="0"/>
                <w:i w:val="0"/>
                <w:sz w:val="17"/>
              </w:rPr>
              <w:t>|F| / W (repetida en todas las filas)</w:t>
            </w:r>
          </w:p>
        </w:tc>
        <w:tc>
          <w:tcPr>
            <w:tcW w:type="dxa" w:w="3118"/>
            <w:vAlign w:val="center"/>
            <w:shd w:val="clear" w:color="auto" w:fill="EEEEEE"/>
          </w:tcPr>
          <w:p>
            <w:pPr>
              <w:spacing w:after="0" w:line="240" w:lineRule="auto"/>
              <w:jc w:val="left"/>
            </w:pPr>
            <w:r/>
            <w:r>
              <w:rPr>
                <w:b w:val="0"/>
                <w:i w:val="0"/>
                <w:sz w:val="17"/>
              </w:rPr>
              <w:t>etapa de la construcción</w:t>
            </w:r>
          </w:p>
        </w:tc>
      </w:tr>
    </w:tbl>
    <w:p>
      <w:pPr>
        <w:spacing w:after="40"/>
      </w:pPr>
    </w:p>
    <w:p>
      <w:pPr>
        <w:pStyle w:val="ListBullet"/>
        <w:spacing w:after="40"/>
        <w:ind w:left="510"/>
      </w:pPr>
      <w:r>
        <w:rPr>
          <w:b/>
          <w:i w:val="0"/>
        </w:rPr>
        <w:t xml:space="preserve">Query de decisión: </w:t>
      </w:r>
      <w:r>
        <w:rPr>
          <w:b w:val="0"/>
          <w:i w:val="0"/>
        </w:rPr>
        <w:t xml:space="preserve">la fila marcada con </w:t>
      </w:r>
      <w:r>
        <w:rPr>
          <w:rFonts w:ascii="Liberation Mono" w:hAnsi="Liberation Mono"/>
          <w:b w:val="0"/>
          <w:i w:val="0"/>
          <w:sz w:val="19"/>
        </w:rPr>
        <w:t>es_global</w:t>
      </w:r>
      <w:r>
        <w:rPr>
          <w:b w:val="0"/>
          <w:i w:val="0"/>
        </w:rPr>
        <w:t xml:space="preserve"> (columna 3). En el WTAP no hay una “ciudad actual”: el estado es la solución parcial completa. Tras la self-attention, la fila global concentra información de todos los pares. La query se completa con el promedio de los embeddings de los pares disponibles (sección 3).</w:t>
      </w:r>
    </w:p>
    <w:p>
      <w:pPr>
        <w:pStyle w:val="ListBullet"/>
        <w:spacing w:after="40"/>
        <w:ind w:left="510"/>
      </w:pPr>
      <w:r>
        <w:rPr>
          <w:b/>
          <w:i w:val="0"/>
        </w:rPr>
        <w:t xml:space="preserve">Máscara: </w:t>
      </w:r>
      <w:r>
        <w:rPr>
          <w:rFonts w:ascii="Liberation Mono" w:hAnsi="Liberation Mono"/>
          <w:b w:val="0"/>
          <w:i w:val="0"/>
          <w:sz w:val="19"/>
        </w:rPr>
        <w:t>no_disponible</w:t>
      </w:r>
      <w:r>
        <w:rPr>
          <w:b w:val="0"/>
          <w:i w:val="0"/>
        </w:rPr>
        <w:t xml:space="preserve"> (columna 4). Vale 1 en la fila global y en los T pares de cada arma ya asignada. Así, con k armas libres quedan exactamente k·T filas válidas, las mismas acciones que genera el entorno.</w:t>
      </w:r>
    </w:p>
    <w:p>
      <w:pPr>
        <w:pStyle w:val="ListBullet"/>
        <w:spacing w:after="40"/>
        <w:ind w:left="510"/>
      </w:pPr>
      <w:r>
        <w:rPr>
          <w:b/>
          <w:i w:val="0"/>
        </w:rPr>
        <w:t xml:space="preserve">Información global: </w:t>
      </w:r>
      <w:r>
        <w:rPr>
          <w:b w:val="0"/>
          <w:i w:val="0"/>
        </w:rPr>
        <w:t>se repite en todas las filas (</w:t>
      </w:r>
      <w:r>
        <w:rPr>
          <w:rFonts w:ascii="Liberation Mono" w:hAnsi="Liberation Mono"/>
          <w:b w:val="0"/>
          <w:i w:val="0"/>
          <w:sz w:val="19"/>
        </w:rPr>
        <w:t>frac_restantes</w:t>
      </w:r>
      <w:r>
        <w:rPr>
          <w:b w:val="0"/>
          <w:i w:val="0"/>
        </w:rPr>
        <w:t>) y también se guarda en la fila especial (</w:t>
      </w:r>
      <w:r>
        <w:rPr>
          <w:rFonts w:ascii="Liberation Mono" w:hAnsi="Liberation Mono"/>
          <w:b w:val="0"/>
          <w:i w:val="0"/>
          <w:sz w:val="19"/>
        </w:rPr>
        <w:t>valor_en_juego</w:t>
      </w:r>
      <w:r>
        <w:rPr>
          <w:b w:val="0"/>
          <w:i w:val="0"/>
        </w:rPr>
        <w:t xml:space="preserve"> total). Las características relativas solo se calculan para pares disponibles; en las filas enmascaradas valen 0.</w:t>
      </w:r>
    </w:p>
    <w:p>
      <w:pPr>
        <w:pStyle w:val="ListBullet"/>
        <w:spacing w:after="40"/>
        <w:ind w:left="510"/>
      </w:pPr>
      <w:r>
        <w:rPr>
          <w:b/>
          <w:i w:val="0"/>
        </w:rPr>
        <w:t xml:space="preserve">Independencia del índice y del tamaño: </w:t>
      </w:r>
      <w:r>
        <w:rPr>
          <w:b w:val="0"/>
          <w:i w:val="0"/>
        </w:rPr>
        <w:t>ninguna columna contiene el número de arma ni de objetivo, y todas están normalizadas por instancia (divididas por el máximo o expresadas como fracciones). Por eso el mismo modelo procesa 81, 151 o 301 filas. La relación entre pares (por ejemplo, otra arma mejor para el mismo objetivo) puede además aprenderse con la self-attention, porque el par (i, j) puede atender a los pares (i′, j).</w:t>
      </w:r>
    </w:p>
    <w:p>
      <w:pPr>
        <w:keepNext/>
        <w:spacing w:after="40"/>
        <w:jc w:val="center"/>
      </w:pPr>
      <w:r>
        <w:drawing>
          <wp:inline xmlns:a="http://schemas.openxmlformats.org/drawingml/2006/main" xmlns:pic="http://schemas.openxmlformats.org/drawingml/2006/picture">
            <wp:extent cx="6188399" cy="1982443"/>
            <wp:docPr id="4" name="Picture 4"/>
            <wp:cNvGraphicFramePr>
              <a:graphicFrameLocks noChangeAspect="1"/>
            </wp:cNvGraphicFramePr>
            <a:graphic>
              <a:graphicData uri="http://schemas.openxmlformats.org/drawingml/2006/picture">
                <pic:pic>
                  <pic:nvPicPr>
                    <pic:cNvPr id="0" name="estado.png"/>
                    <pic:cNvPicPr/>
                  </pic:nvPicPr>
                  <pic:blipFill>
                    <a:blip r:embed="rId12"/>
                    <a:stretch>
                      <a:fillRect/>
                    </a:stretch>
                  </pic:blipFill>
                  <pic:spPr>
                    <a:xfrm>
                      <a:off x="0" y="0"/>
                      <a:ext cx="6188399" cy="1982443"/>
                    </a:xfrm>
                    <a:prstGeom prst="rect"/>
                  </pic:spPr>
                </pic:pic>
              </a:graphicData>
            </a:graphic>
          </wp:inline>
        </w:drawing>
      </w:r>
    </w:p>
    <w:p>
      <w:pPr>
        <w:spacing w:after="160"/>
        <w:jc w:val="center"/>
      </w:pPr>
      <w:r>
        <w:rPr>
          <w:b w:val="0"/>
          <w:i/>
          <w:color w:val="6B7585"/>
          <w:sz w:val="18"/>
        </w:rPr>
        <w:t>Figura 2. state2vec del paso 4 del ejemplo (matriz transpuesta: cada columna del gráfico es una fila de la matriz; G = fila global; luego los 8 objetivos de cada arma). En rojo, la fila que escoge el experto. Cada característica se reescaló a [0, 1] solo para visualizarla.</w:t>
      </w:r>
    </w:p>
    <w:p>
      <w:pPr>
        <w:pStyle w:val="Heading1"/>
      </w:pPr>
      <w:r>
        <w:t>3. Codificación de la salida</w:t>
      </w:r>
    </w:p>
    <w:p>
      <w:r>
        <w:rPr>
          <w:b w:val="0"/>
          <w:i w:val="0"/>
        </w:rPr>
        <w:t xml:space="preserve">El modelo entrega un </w:t>
      </w:r>
      <w:r>
        <w:rPr>
          <w:b/>
          <w:i w:val="0"/>
        </w:rPr>
        <w:t>vector de logits de largo n = 1 + W·T</w:t>
      </w:r>
      <w:r>
        <w:rPr>
          <w:b w:val="0"/>
          <w:i w:val="0"/>
        </w:rPr>
        <w:t xml:space="preserve"> (uno por fila) y un softmax lo convierte en la probabilidad de que cada fila sea la próxima acción:</w:t>
      </w:r>
    </w:p>
    <w:p>
      <w:pPr>
        <w:spacing w:after="120"/>
        <w:jc w:val="center"/>
      </w:pPr>
      <w:r>
        <w:drawing>
          <wp:inline xmlns:a="http://schemas.openxmlformats.org/drawingml/2006/main" xmlns:pic="http://schemas.openxmlformats.org/drawingml/2006/picture">
            <wp:extent cx="5555916" cy="413999"/>
            <wp:docPr id="5" name="Picture 5"/>
            <wp:cNvGraphicFramePr>
              <a:graphicFrameLocks noChangeAspect="1"/>
            </wp:cNvGraphicFramePr>
            <a:graphic>
              <a:graphicData uri="http://schemas.openxmlformats.org/drawingml/2006/picture">
                <pic:pic>
                  <pic:nvPicPr>
                    <pic:cNvPr id="0" name="puntero.png"/>
                    <pic:cNvPicPr/>
                  </pic:nvPicPr>
                  <pic:blipFill>
                    <a:blip r:embed="rId13"/>
                    <a:stretch>
                      <a:fillRect/>
                    </a:stretch>
                  </pic:blipFill>
                  <pic:spPr>
                    <a:xfrm>
                      <a:off x="0" y="0"/>
                      <a:ext cx="5555916" cy="413999"/>
                    </a:xfrm>
                    <a:prstGeom prst="rect"/>
                  </pic:spPr>
                </pic:pic>
              </a:graphicData>
            </a:graphic>
          </wp:inline>
        </w:drawing>
      </w:r>
    </w:p>
    <w:p>
      <w:pPr>
        <w:pStyle w:val="ListBullet"/>
        <w:spacing w:after="40"/>
        <w:ind w:left="510"/>
      </w:pPr>
      <w:r>
        <w:rPr>
          <w:b/>
          <w:i w:val="0"/>
        </w:rPr>
        <w:t xml:space="preserve">Acción ↔ fila: </w:t>
      </w:r>
      <w:r>
        <w:rPr>
          <w:b w:val="0"/>
          <w:i w:val="0"/>
        </w:rPr>
        <w:t xml:space="preserve">la acción </w:t>
      </w:r>
      <w:r>
        <w:rPr>
          <w:rFonts w:ascii="Liberation Mono" w:hAnsi="Liberation Mono"/>
          <w:b w:val="0"/>
          <w:i w:val="0"/>
          <w:sz w:val="19"/>
        </w:rPr>
        <w:t>("constructive", (i, j))</w:t>
      </w:r>
      <w:r>
        <w:rPr>
          <w:b w:val="0"/>
          <w:i w:val="0"/>
        </w:rPr>
        <w:t xml:space="preserve"> es “elegir la fila r = 1 + i·T + j”, y a la inversa i = (r − 1) // T, j = (r − 1) % T. Aunque la acción involucra dos elementos (un arma y un objetivo), cada par tiene su propia fila, así que el puntero lo selecciona directamente sin combinar filas, como sí haría falta en un movimiento 2-opt. El agente consulta </w:t>
      </w:r>
      <w:r>
        <w:rPr>
          <w:rFonts w:ascii="Liberation Mono" w:hAnsi="Liberation Mono"/>
          <w:b w:val="0"/>
          <w:i w:val="0"/>
          <w:sz w:val="19"/>
        </w:rPr>
        <w:t>probs[1 + i·T + j]</w:t>
      </w:r>
      <w:r>
        <w:rPr>
          <w:b w:val="0"/>
          <w:i w:val="0"/>
        </w:rPr>
        <w:t xml:space="preserve"> para cada acción legal.</w:t>
      </w:r>
    </w:p>
    <w:p>
      <w:pPr>
        <w:pStyle w:val="ListBullet"/>
        <w:spacing w:after="40"/>
        <w:ind w:left="510"/>
      </w:pPr>
      <w:r>
        <w:rPr>
          <w:b/>
          <w:i w:val="0"/>
        </w:rPr>
        <w:t xml:space="preserve">Filas enmascaradas: </w:t>
      </w:r>
      <w:r>
        <w:rPr>
          <w:b w:val="0"/>
          <w:i w:val="0"/>
        </w:rPr>
        <w:t xml:space="preserve">las que tienen </w:t>
      </w:r>
      <w:r>
        <w:rPr>
          <w:rFonts w:ascii="Liberation Mono" w:hAnsi="Liberation Mono"/>
          <w:b w:val="0"/>
          <w:i w:val="0"/>
          <w:sz w:val="19"/>
        </w:rPr>
        <w:t>no_disponible = 1</w:t>
      </w:r>
      <w:r>
        <w:rPr>
          <w:b w:val="0"/>
          <w:i w:val="0"/>
        </w:rPr>
        <w:t xml:space="preserve"> (columna 4), es decir, la fila global y todos los pares de armas ya asignadas. Reciben logit −10⁹ antes del softmax, por lo que su probabilidad es exactamente 0 y no compiten con las acciones válidas.</w:t>
      </w:r>
    </w:p>
    <w:p>
      <w:pPr>
        <w:pStyle w:val="ListBullet"/>
        <w:spacing w:after="40"/>
        <w:ind w:left="510"/>
      </w:pPr>
      <w:r>
        <w:rPr>
          <w:b/>
          <w:i w:val="0"/>
        </w:rPr>
        <w:t xml:space="preserve">Etiqueta Y: </w:t>
      </w:r>
      <w:r>
        <w:rPr>
          <w:b w:val="0"/>
          <w:i w:val="0"/>
        </w:rPr>
        <w:t xml:space="preserve">el índice entero de la fila escogida por el experto, Y = 1 + i*·T + a*ᵢ*. Equivale a un vector one-hot de largo n (1 en la acción escogida y 0 en el resto), pero se guarda como entero (tensor </w:t>
      </w:r>
      <w:r>
        <w:rPr>
          <w:rFonts w:ascii="Liberation Mono" w:hAnsi="Liberation Mono"/>
          <w:b w:val="0"/>
          <w:i w:val="0"/>
          <w:sz w:val="19"/>
        </w:rPr>
        <w:t>long</w:t>
      </w:r>
      <w:r>
        <w:rPr>
          <w:b w:val="0"/>
          <w:i w:val="0"/>
        </w:rPr>
        <w:t xml:space="preserve">) para usar </w:t>
      </w:r>
      <w:r>
        <w:rPr>
          <w:rFonts w:ascii="Liberation Mono" w:hAnsi="Liberation Mono"/>
          <w:b w:val="0"/>
          <w:i w:val="0"/>
          <w:sz w:val="19"/>
        </w:rPr>
        <w:t>CrossEntropyLoss</w:t>
      </w:r>
      <w:r>
        <w:rPr>
          <w:b w:val="0"/>
          <w:i w:val="0"/>
        </w:rPr>
        <w:t>:</w:t>
      </w:r>
    </w:p>
    <w:p>
      <w:pPr>
        <w:spacing w:after="120"/>
        <w:jc w:val="center"/>
      </w:pPr>
      <w:r>
        <w:drawing>
          <wp:inline xmlns:a="http://schemas.openxmlformats.org/drawingml/2006/main" xmlns:pic="http://schemas.openxmlformats.org/drawingml/2006/picture">
            <wp:extent cx="2574250" cy="378000"/>
            <wp:docPr id="6" name="Picture 6"/>
            <wp:cNvGraphicFramePr>
              <a:graphicFrameLocks noChangeAspect="1"/>
            </wp:cNvGraphicFramePr>
            <a:graphic>
              <a:graphicData uri="http://schemas.openxmlformats.org/drawingml/2006/picture">
                <pic:pic>
                  <pic:nvPicPr>
                    <pic:cNvPr id="0" name="loss.png"/>
                    <pic:cNvPicPr/>
                  </pic:nvPicPr>
                  <pic:blipFill>
                    <a:blip r:embed="rId14"/>
                    <a:stretch>
                      <a:fillRect/>
                    </a:stretch>
                  </pic:blipFill>
                  <pic:spPr>
                    <a:xfrm>
                      <a:off x="0" y="0"/>
                      <a:ext cx="2574250" cy="378000"/>
                    </a:xfrm>
                    <a:prstGeom prst="rect"/>
                  </pic:spPr>
                </pic:pic>
              </a:graphicData>
            </a:graphic>
          </wp:inline>
        </w:drawing>
      </w:r>
    </w:p>
    <w:p>
      <w:r>
        <w:rPr>
          <w:b w:val="0"/>
          <w:i w:val="0"/>
        </w:rPr>
        <w:t>Por la máscara, el softmax se reparte solo entre las k·T acciones válidas; un modelo sin entrenar parte con una pérdida cercana a log(k·T) en promedio. Como la etiqueta nunca está enmascarada (se verifica con un assert sobre todas las muestras), la pérdida siempre es finita.</w:t>
      </w:r>
    </w:p>
    <w:p>
      <w:pPr>
        <w:pStyle w:val="Heading2"/>
      </w:pPr>
      <w:r>
        <w:t>Cómo se construye q: adaptación de TSP_Attention</w:t>
      </w:r>
    </w:p>
    <w:p>
      <w:pPr>
        <w:keepNext/>
      </w:pPr>
      <w:r>
        <w:rPr>
          <w:b w:val="0"/>
          <w:i w:val="0"/>
        </w:rPr>
        <w:t>La estructura del notebook se mantiene (embedding compartido → self-attention con residual → feed-forward → query → puntero). Cambian la query y la máscara:</w:t>
      </w:r>
    </w:p>
    <w:p>
      <w:pPr>
        <w:spacing w:after="120"/>
        <w:jc w:val="center"/>
      </w:pPr>
      <w:r>
        <w:drawing>
          <wp:inline xmlns:a="http://schemas.openxmlformats.org/drawingml/2006/main" xmlns:pic="http://schemas.openxmlformats.org/drawingml/2006/picture">
            <wp:extent cx="2808881" cy="413999"/>
            <wp:docPr id="7" name="Picture 7"/>
            <wp:cNvGraphicFramePr>
              <a:graphicFrameLocks noChangeAspect="1"/>
            </wp:cNvGraphicFramePr>
            <a:graphic>
              <a:graphicData uri="http://schemas.openxmlformats.org/drawingml/2006/picture">
                <pic:pic>
                  <pic:nvPicPr>
                    <pic:cNvPr id="0" name="query.png"/>
                    <pic:cNvPicPr/>
                  </pic:nvPicPr>
                  <pic:blipFill>
                    <a:blip r:embed="rId15"/>
                    <a:stretch>
                      <a:fillRect/>
                    </a:stretch>
                  </pic:blipFill>
                  <pic:spPr>
                    <a:xfrm>
                      <a:off x="0" y="0"/>
                      <a:ext cx="2808881" cy="4139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814"/>
        <w:gridCol w:w="3572"/>
        <w:gridCol w:w="4195"/>
      </w:tblGrid>
      <w:tr>
        <w:trPr>
          <w:cantSplit w:val="true"/>
        </w:trPr>
        <w:tc>
          <w:tcPr>
            <w:tcW w:type="dxa" w:w="1814"/>
            <w:vAlign w:val="center"/>
            <w:shd w:val="clear" w:color="auto" w:fill="1B2A41"/>
          </w:tcPr>
          <w:p>
            <w:pPr>
              <w:spacing w:after="0" w:line="240" w:lineRule="auto"/>
              <w:jc w:val="left"/>
            </w:pPr>
            <w:r/>
            <w:r>
              <w:rPr>
                <w:b/>
                <w:i w:val="0"/>
                <w:color w:val="FFFFFF"/>
                <w:sz w:val="18"/>
              </w:rPr>
            </w:r>
          </w:p>
        </w:tc>
        <w:tc>
          <w:tcPr>
            <w:tcW w:type="dxa" w:w="3572"/>
            <w:vAlign w:val="center"/>
            <w:shd w:val="clear" w:color="auto" w:fill="1B2A41"/>
          </w:tcPr>
          <w:p>
            <w:pPr>
              <w:spacing w:after="0" w:line="240" w:lineRule="auto"/>
              <w:jc w:val="left"/>
            </w:pPr>
            <w:r/>
            <w:r>
              <w:rPr>
                <w:b/>
                <w:i w:val="0"/>
                <w:color w:val="FFFFFF"/>
                <w:sz w:val="18"/>
              </w:rPr>
              <w:t>TSP_Attention (notebook)</w:t>
            </w:r>
          </w:p>
        </w:tc>
        <w:tc>
          <w:tcPr>
            <w:tcW w:type="dxa" w:w="4195"/>
            <w:vAlign w:val="center"/>
            <w:shd w:val="clear" w:color="auto" w:fill="1B2A41"/>
          </w:tcPr>
          <w:p>
            <w:pPr>
              <w:spacing w:after="0" w:line="240" w:lineRule="auto"/>
              <w:jc w:val="left"/>
            </w:pPr>
            <w:r/>
            <w:r>
              <w:rPr>
                <w:b/>
                <w:i w:val="0"/>
                <w:color w:val="FFFFFF"/>
                <w:sz w:val="18"/>
              </w:rPr>
              <w:t>WTAP_Attention (esta tarea)</w:t>
            </w:r>
          </w:p>
        </w:tc>
      </w:tr>
      <w:tr>
        <w:trPr>
          <w:cantSplit w:val="true"/>
        </w:trPr>
        <w:tc>
          <w:tcPr>
            <w:tcW w:type="dxa" w:w="1814"/>
            <w:vAlign w:val="center"/>
          </w:tcPr>
          <w:p>
            <w:pPr>
              <w:spacing w:after="0" w:line="240" w:lineRule="auto"/>
              <w:jc w:val="left"/>
            </w:pPr>
            <w:r/>
            <w:r>
              <w:rPr>
                <w:b w:val="0"/>
                <w:i w:val="0"/>
                <w:sz w:val="18"/>
              </w:rPr>
              <w:t>Filas</w:t>
            </w:r>
          </w:p>
        </w:tc>
        <w:tc>
          <w:tcPr>
            <w:tcW w:type="dxa" w:w="3572"/>
            <w:vAlign w:val="center"/>
          </w:tcPr>
          <w:p>
            <w:pPr>
              <w:spacing w:after="0" w:line="240" w:lineRule="auto"/>
              <w:jc w:val="left"/>
            </w:pPr>
            <w:r/>
            <w:r>
              <w:rPr>
                <w:b w:val="0"/>
                <w:i w:val="0"/>
                <w:sz w:val="18"/>
              </w:rPr>
              <w:t>ciudades</w:t>
            </w:r>
          </w:p>
        </w:tc>
        <w:tc>
          <w:tcPr>
            <w:tcW w:type="dxa" w:w="4195"/>
            <w:vAlign w:val="center"/>
          </w:tcPr>
          <w:p>
            <w:pPr>
              <w:spacing w:after="0" w:line="240" w:lineRule="auto"/>
              <w:jc w:val="left"/>
            </w:pPr>
            <w:r/>
            <w:r>
              <w:rPr>
                <w:b w:val="0"/>
                <w:i w:val="0"/>
                <w:sz w:val="18"/>
              </w:rPr>
              <w:t>fila global + pares (arma, objetivo)</w:t>
            </w:r>
          </w:p>
        </w:tc>
      </w:tr>
      <w:tr>
        <w:trPr>
          <w:cantSplit w:val="true"/>
        </w:trPr>
        <w:tc>
          <w:tcPr>
            <w:tcW w:type="dxa" w:w="1814"/>
            <w:vAlign w:val="center"/>
          </w:tcPr>
          <w:p>
            <w:pPr>
              <w:spacing w:after="0" w:line="240" w:lineRule="auto"/>
              <w:jc w:val="left"/>
            </w:pPr>
            <w:r/>
            <w:r>
              <w:rPr>
                <w:b w:val="0"/>
                <w:i w:val="0"/>
                <w:sz w:val="18"/>
              </w:rPr>
              <w:t>VEC_LEN</w:t>
            </w:r>
          </w:p>
        </w:tc>
        <w:tc>
          <w:tcPr>
            <w:tcW w:type="dxa" w:w="3572"/>
            <w:vAlign w:val="center"/>
          </w:tcPr>
          <w:p>
            <w:pPr>
              <w:spacing w:after="0" w:line="240" w:lineRule="auto"/>
              <w:jc w:val="left"/>
            </w:pPr>
            <w:r/>
            <w:r>
              <w:rPr>
                <w:b w:val="0"/>
                <w:i w:val="0"/>
                <w:sz w:val="18"/>
              </w:rPr>
              <w:t>6</w:t>
            </w:r>
          </w:p>
        </w:tc>
        <w:tc>
          <w:tcPr>
            <w:tcW w:type="dxa" w:w="4195"/>
            <w:vAlign w:val="center"/>
          </w:tcPr>
          <w:p>
            <w:pPr>
              <w:spacing w:after="0" w:line="240" w:lineRule="auto"/>
              <w:jc w:val="left"/>
            </w:pPr>
            <w:r/>
            <w:r>
              <w:rPr>
                <w:b w:val="0"/>
                <w:i w:val="0"/>
                <w:sz w:val="18"/>
              </w:rPr>
              <w:t>16</w:t>
            </w:r>
          </w:p>
        </w:tc>
      </w:tr>
      <w:tr>
        <w:trPr>
          <w:cantSplit w:val="true"/>
        </w:trPr>
        <w:tc>
          <w:tcPr>
            <w:tcW w:type="dxa" w:w="1814"/>
            <w:vAlign w:val="center"/>
          </w:tcPr>
          <w:p>
            <w:pPr>
              <w:spacing w:after="0" w:line="240" w:lineRule="auto"/>
              <w:jc w:val="left"/>
            </w:pPr>
            <w:r/>
            <w:r>
              <w:rPr>
                <w:b w:val="0"/>
                <w:i w:val="0"/>
                <w:sz w:val="18"/>
              </w:rPr>
              <w:t>Encoder</w:t>
            </w:r>
          </w:p>
        </w:tc>
        <w:tc>
          <w:tcPr>
            <w:tcW w:type="dxa" w:w="3572"/>
            <w:vAlign w:val="center"/>
          </w:tcPr>
          <w:p>
            <w:pPr>
              <w:spacing w:after="0" w:line="240" w:lineRule="auto"/>
              <w:jc w:val="left"/>
            </w:pPr>
            <w:r/>
            <w:r>
              <w:rPr>
                <w:b w:val="0"/>
                <w:i w:val="0"/>
                <w:sz w:val="18"/>
              </w:rPr>
              <w:t>1 bloque</w:t>
            </w:r>
          </w:p>
        </w:tc>
        <w:tc>
          <w:tcPr>
            <w:tcW w:type="dxa" w:w="4195"/>
            <w:vAlign w:val="center"/>
          </w:tcPr>
          <w:p>
            <w:pPr>
              <w:spacing w:after="0" w:line="240" w:lineRule="auto"/>
              <w:jc w:val="left"/>
            </w:pPr>
            <w:r/>
            <w:r>
              <w:rPr>
                <w:b w:val="0"/>
                <w:i w:val="0"/>
                <w:sz w:val="18"/>
              </w:rPr>
              <w:t>2 bloques con LayerNorm y Dropout, d = 64</w:t>
            </w:r>
          </w:p>
        </w:tc>
      </w:tr>
      <w:tr>
        <w:trPr>
          <w:cantSplit w:val="true"/>
        </w:trPr>
        <w:tc>
          <w:tcPr>
            <w:tcW w:type="dxa" w:w="1814"/>
            <w:vAlign w:val="center"/>
          </w:tcPr>
          <w:p>
            <w:pPr>
              <w:spacing w:after="0" w:line="240" w:lineRule="auto"/>
              <w:jc w:val="left"/>
            </w:pPr>
            <w:r/>
            <w:r>
              <w:rPr>
                <w:b w:val="0"/>
                <w:i w:val="0"/>
                <w:sz w:val="18"/>
              </w:rPr>
              <w:t>Query (paso 3)</w:t>
            </w:r>
          </w:p>
        </w:tc>
        <w:tc>
          <w:tcPr>
            <w:tcW w:type="dxa" w:w="3572"/>
            <w:vAlign w:val="center"/>
          </w:tcPr>
          <w:p>
            <w:pPr>
              <w:spacing w:after="0" w:line="240" w:lineRule="auto"/>
              <w:jc w:val="left"/>
            </w:pPr>
            <w:r/>
            <w:r>
              <w:rPr>
                <w:b w:val="0"/>
                <w:i w:val="0"/>
                <w:sz w:val="18"/>
              </w:rPr>
              <w:t>Wc[h_actual ; h_inicial] (col. 2 y fila 0)</w:t>
            </w:r>
          </w:p>
        </w:tc>
        <w:tc>
          <w:tcPr>
            <w:tcW w:type="dxa" w:w="4195"/>
            <w:vAlign w:val="center"/>
          </w:tcPr>
          <w:p>
            <w:pPr>
              <w:spacing w:after="0" w:line="240" w:lineRule="auto"/>
              <w:jc w:val="left"/>
            </w:pPr>
            <w:r/>
            <w:r>
              <w:rPr>
                <w:b w:val="0"/>
                <w:i w:val="0"/>
                <w:sz w:val="18"/>
              </w:rPr>
              <w:t>Wc[h_global ; promedio de disponibles] (col. 3)</w:t>
            </w:r>
          </w:p>
        </w:tc>
      </w:tr>
      <w:tr>
        <w:trPr>
          <w:cantSplit w:val="true"/>
        </w:trPr>
        <w:tc>
          <w:tcPr>
            <w:tcW w:type="dxa" w:w="1814"/>
            <w:vAlign w:val="center"/>
          </w:tcPr>
          <w:p>
            <w:pPr>
              <w:spacing w:after="0" w:line="240" w:lineRule="auto"/>
              <w:jc w:val="left"/>
            </w:pPr>
            <w:r/>
            <w:r>
              <w:rPr>
                <w:b w:val="0"/>
                <w:i w:val="0"/>
                <w:sz w:val="18"/>
              </w:rPr>
              <w:t>Máscara (paso 4)</w:t>
            </w:r>
          </w:p>
        </w:tc>
        <w:tc>
          <w:tcPr>
            <w:tcW w:type="dxa" w:w="3572"/>
            <w:vAlign w:val="center"/>
          </w:tcPr>
          <w:p>
            <w:pPr>
              <w:spacing w:after="0" w:line="240" w:lineRule="auto"/>
              <w:jc w:val="left"/>
            </w:pPr>
            <w:r/>
            <w:r>
              <w:rPr>
                <w:b w:val="0"/>
                <w:i w:val="0"/>
                <w:sz w:val="18"/>
              </w:rPr>
              <w:t>visitada (col. 3)</w:t>
            </w:r>
          </w:p>
        </w:tc>
        <w:tc>
          <w:tcPr>
            <w:tcW w:type="dxa" w:w="4195"/>
            <w:vAlign w:val="center"/>
          </w:tcPr>
          <w:p>
            <w:pPr>
              <w:spacing w:after="0" w:line="240" w:lineRule="auto"/>
              <w:jc w:val="left"/>
            </w:pPr>
            <w:r/>
            <w:r>
              <w:rPr>
                <w:b w:val="0"/>
                <w:i w:val="0"/>
                <w:sz w:val="18"/>
              </w:rPr>
              <w:t>no_disponible (col. 4)</w:t>
            </w:r>
          </w:p>
        </w:tc>
      </w:tr>
      <w:tr>
        <w:trPr>
          <w:cantSplit w:val="true"/>
        </w:trPr>
        <w:tc>
          <w:tcPr>
            <w:tcW w:type="dxa" w:w="1814"/>
            <w:vAlign w:val="center"/>
          </w:tcPr>
          <w:p>
            <w:pPr>
              <w:spacing w:after="0" w:line="240" w:lineRule="auto"/>
              <w:jc w:val="left"/>
            </w:pPr>
            <w:r/>
            <w:r>
              <w:rPr>
                <w:b w:val="0"/>
                <w:i w:val="0"/>
                <w:sz w:val="18"/>
              </w:rPr>
              <w:t>Puntero</w:t>
            </w:r>
          </w:p>
        </w:tc>
        <w:tc>
          <w:tcPr>
            <w:tcW w:type="dxa" w:w="3572"/>
            <w:vAlign w:val="center"/>
          </w:tcPr>
          <w:p>
            <w:pPr>
              <w:spacing w:after="0" w:line="240" w:lineRule="auto"/>
              <w:jc w:val="left"/>
            </w:pPr>
            <w:r/>
            <w:r>
              <w:rPr>
                <w:b w:val="0"/>
                <w:i w:val="0"/>
                <w:sz w:val="18"/>
              </w:rPr>
              <w:t>(W_Q q)·(W_K h_i)/√d</w:t>
            </w:r>
          </w:p>
        </w:tc>
        <w:tc>
          <w:tcPr>
            <w:tcW w:type="dxa" w:w="4195"/>
            <w:vAlign w:val="center"/>
          </w:tcPr>
          <w:p>
            <w:pPr>
              <w:spacing w:after="0" w:line="240" w:lineRule="auto"/>
              <w:jc w:val="left"/>
            </w:pPr>
            <w:r/>
            <w:r>
              <w:rPr>
                <w:b w:val="0"/>
                <w:i w:val="0"/>
                <w:sz w:val="18"/>
              </w:rPr>
              <w:t>igual</w:t>
            </w:r>
          </w:p>
        </w:tc>
      </w:tr>
    </w:tbl>
    <w:p>
      <w:pPr>
        <w:spacing w:after="40"/>
      </w:pPr>
    </w:p>
    <w:p>
      <w:r>
        <w:rPr>
          <w:b/>
          <w:i w:val="0"/>
        </w:rPr>
        <w:t xml:space="preserve">Resultado (puntos opcionales 7–8, detallados en el notebook). </w:t>
      </w:r>
      <w:r>
        <w:rPr>
          <w:b w:val="0"/>
          <w:i w:val="0"/>
        </w:rPr>
        <w:t>Entrenado con 60.000 pares (estado, fila) de 6.000 instancias, el modelo coincide con el experto en 87,3 % de las decisiones de validación. Usado como política de un GreedyAgent, logra un gap de 2,97 % respecto del experto en las mismas 50 instancias de prueba de la Tarea 4 (MMR: 7,68 %; MLP de la Tarea 4: 4,42 %), y funciona sin cambios en instancias más grandes (10×8: 3,0 %, 15×10: 4,9 %, 20×15: 3,9 %).</w:t>
      </w:r>
    </w:p>
    <w:p>
      <w:pPr>
        <w:keepNext/>
        <w:spacing w:after="40"/>
        <w:jc w:val="center"/>
      </w:pPr>
      <w:r>
        <w:drawing>
          <wp:inline xmlns:a="http://schemas.openxmlformats.org/drawingml/2006/main" xmlns:pic="http://schemas.openxmlformats.org/drawingml/2006/picture">
            <wp:extent cx="2808000" cy="2381623"/>
            <wp:docPr id="8" name="Picture 8"/>
            <wp:cNvGraphicFramePr>
              <a:graphicFrameLocks noChangeAspect="1"/>
            </wp:cNvGraphicFramePr>
            <a:graphic>
              <a:graphicData uri="http://schemas.openxmlformats.org/drawingml/2006/picture">
                <pic:pic>
                  <pic:nvPicPr>
                    <pic:cNvPr id="0" name="salida.png"/>
                    <pic:cNvPicPr/>
                  </pic:nvPicPr>
                  <pic:blipFill>
                    <a:blip r:embed="rId16"/>
                    <a:stretch>
                      <a:fillRect/>
                    </a:stretch>
                  </pic:blipFill>
                  <pic:spPr>
                    <a:xfrm>
                      <a:off x="0" y="0"/>
                      <a:ext cx="2808000" cy="2381623"/>
                    </a:xfrm>
                    <a:prstGeom prst="rect"/>
                  </pic:spPr>
                </pic:pic>
              </a:graphicData>
            </a:graphic>
          </wp:inline>
        </w:drawing>
      </w:r>
    </w:p>
    <w:p>
      <w:pPr>
        <w:spacing w:after="160"/>
        <w:jc w:val="center"/>
      </w:pPr>
      <w:r>
        <w:rPr>
          <w:b w:val="0"/>
          <w:i/>
          <w:color w:val="6B7585"/>
          <w:sz w:val="18"/>
        </w:rPr>
        <w:t>Figura 3. Salida del puntero entrenado en el estado de la Figura 2, reordenada como armas × objetivos. Gris = filas enmascaradas; rojo = acción del experto; naranja = MMR. El modelo pone probabilidad 1,00 en el par del experto, que aquí coincide con MMR.</w:t>
      </w:r>
    </w:p>
    <w:p>
      <w:pPr>
        <w:pStyle w:val="Heading2"/>
      </w:pPr>
      <w:r>
        <w:t>Referencias</w:t>
      </w:r>
    </w:p>
    <w:p>
      <w:pPr>
        <w:spacing w:after="40"/>
      </w:pPr>
      <w:r>
        <w:rPr>
          <w:b w:val="0"/>
          <w:i w:val="0"/>
          <w:sz w:val="18"/>
        </w:rPr>
        <w:t>den Broeder, G. G., Ellison, R. E., &amp; Emerling, L. (1959). On optimum target assignments. Operations Research, 7(3).</w:t>
      </w:r>
    </w:p>
    <w:p>
      <w:pPr>
        <w:spacing w:after="40"/>
      </w:pPr>
      <w:r>
        <w:rPr>
          <w:b w:val="0"/>
          <w:i w:val="0"/>
          <w:sz w:val="18"/>
        </w:rPr>
        <w:t>Lloyd, S. P., &amp; Witsenhausen, H. S. (1986). Weapons allocation is NP-complete. Summer Computer Simulation Conference.</w:t>
      </w:r>
    </w:p>
    <w:p>
      <w:pPr>
        <w:spacing w:after="40"/>
      </w:pPr>
      <w:r>
        <w:rPr>
          <w:b w:val="0"/>
          <w:i w:val="0"/>
          <w:sz w:val="18"/>
        </w:rPr>
        <w:t>Ahuja, R. K., Kumar, A., Jha, K. C., &amp; Orlin, J. B. (2007). Exact and heuristic algorithms for the weapon-target assignment problem. Operations Research, 55(6).</w:t>
      </w:r>
    </w:p>
    <w:p>
      <w:pPr>
        <w:spacing w:after="40"/>
      </w:pPr>
      <w:r>
        <w:rPr>
          <w:b w:val="0"/>
          <w:i w:val="0"/>
          <w:sz w:val="18"/>
        </w:rPr>
        <w:t>Vinyals, O., Fortunato, M., &amp; Jaitly, N. (2015). Pointer Networks. NeurIPS.</w:t>
      </w:r>
    </w:p>
    <w:p>
      <w:pPr>
        <w:spacing w:after="40"/>
      </w:pPr>
      <w:r>
        <w:rPr>
          <w:b w:val="0"/>
          <w:i w:val="0"/>
          <w:sz w:val="18"/>
        </w:rPr>
        <w:t>Kool, W., van Hoof, H., &amp; Welling, M. (2019). Attention, Learn to Solve Routing Problems! ICLR.</w:t>
      </w:r>
    </w:p>
    <w:p>
      <w:pPr>
        <w:spacing w:after="40"/>
      </w:pPr>
      <w:r>
        <w:rPr>
          <w:b w:val="0"/>
          <w:i w:val="0"/>
          <w:sz w:val="18"/>
        </w:rPr>
        <w:t>Notebook del curso: “Atención para el TSP: de la MLP al puntero”.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E35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cs="Arial" w:eastAsia="Arial"/>
      <w:b/>
      <w:bCs/>
      <w:color w:val="1B2A41"/>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Arial" w:hAnsi="Arial" w:cs="Arial" w:eastAsia="Arial"/>
      <w:b/>
      <w:bCs/>
      <w:color w:val="1B2A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