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A6D66" w14:textId="68B76985" w:rsidR="00505C09" w:rsidRDefault="00505C09">
      <w:r w:rsidRPr="00505C09">
        <w:t xml:space="preserve">This study presents the development and evaluation of five distinct Machine Learning models applied to a structured dataset, with the objective of identifying the most accurate and computationally efficient approach. </w:t>
      </w:r>
      <w:r w:rsidR="00A70448">
        <w:t>The</w:t>
      </w:r>
      <w:r w:rsidR="00F60FC6">
        <w:t xml:space="preserve"> goal is</w:t>
      </w:r>
      <w:r w:rsidR="00A70448">
        <w:t xml:space="preserve"> the best approach for forecasting the Power Demand of the building. </w:t>
      </w:r>
      <w:r w:rsidRPr="00505C09">
        <w:t>The dataset underwent rigorous preprocessing, including feature engineering and feature selection. These steps were essential to enhance model performance and reduce dimensionality</w:t>
      </w:r>
      <w:r w:rsidR="00FB6665">
        <w:t>.</w:t>
      </w:r>
      <w:r w:rsidRPr="00505C09">
        <w:t xml:space="preserve"> </w:t>
      </w:r>
      <w:r w:rsidR="00FB6665">
        <w:fldChar w:fldCharType="begin"/>
      </w:r>
      <w:r w:rsidR="00FB6665">
        <w:instrText xml:space="preserve"> REF _Ref197422641 \h </w:instrText>
      </w:r>
      <w:r w:rsidR="00FB6665">
        <w:fldChar w:fldCharType="separate"/>
      </w:r>
      <w:r w:rsidR="00FB6665">
        <w:t xml:space="preserve">Table </w:t>
      </w:r>
      <w:r w:rsidR="00FB6665">
        <w:rPr>
          <w:noProof/>
        </w:rPr>
        <w:t>1</w:t>
      </w:r>
      <w:r w:rsidR="00FB6665">
        <w:fldChar w:fldCharType="end"/>
      </w:r>
      <w:r w:rsidR="00FB6665">
        <w:t xml:space="preserve"> </w:t>
      </w:r>
      <w:r w:rsidRPr="00505C09">
        <w:t>presents the final dataset obtained after the complete data preprocessing pipeline, which included data cleaning, feature engineering, and feature selection.</w:t>
      </w:r>
    </w:p>
    <w:p w14:paraId="3650357B" w14:textId="685F775E" w:rsidR="008F2E9C" w:rsidRDefault="008F2E9C" w:rsidP="008F2E9C">
      <w:pPr>
        <w:pStyle w:val="Caption"/>
        <w:keepNext/>
      </w:pPr>
      <w:bookmarkStart w:id="0" w:name="_Ref197422641"/>
      <w:bookmarkStart w:id="1" w:name="_Ref19742262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B6226">
        <w:rPr>
          <w:noProof/>
        </w:rPr>
        <w:t>1</w:t>
      </w:r>
      <w:r>
        <w:fldChar w:fldCharType="end"/>
      </w:r>
      <w:bookmarkEnd w:id="0"/>
      <w:r>
        <w:t xml:space="preserve"> - Dataset Summary</w:t>
      </w:r>
      <w:bookmarkEnd w:id="1"/>
    </w:p>
    <w:tbl>
      <w:tblPr>
        <w:tblW w:w="971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3"/>
        <w:gridCol w:w="855"/>
        <w:gridCol w:w="1000"/>
        <w:gridCol w:w="637"/>
        <w:gridCol w:w="630"/>
        <w:gridCol w:w="2250"/>
        <w:gridCol w:w="630"/>
        <w:gridCol w:w="810"/>
        <w:gridCol w:w="900"/>
        <w:gridCol w:w="900"/>
      </w:tblGrid>
      <w:tr w:rsidR="005874FF" w:rsidRPr="00AC3683" w14:paraId="269ED42B" w14:textId="77777777" w:rsidTr="00297398">
        <w:trPr>
          <w:trHeight w:val="290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18395DFE" w14:textId="77777777" w:rsidR="005B131B" w:rsidRPr="005B131B" w:rsidRDefault="005B131B" w:rsidP="002973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  <w:t>Subject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6BD78ED9" w14:textId="77777777" w:rsidR="005B131B" w:rsidRPr="005B131B" w:rsidRDefault="005B131B" w:rsidP="002973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  <w:t>Total Features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479006CE" w14:textId="77777777" w:rsidR="005B131B" w:rsidRPr="005B131B" w:rsidRDefault="005B131B" w:rsidP="002973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  <w:t>Name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7B61DCEE" w14:textId="77777777" w:rsidR="005B131B" w:rsidRPr="005B131B" w:rsidRDefault="005B131B" w:rsidP="002973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74659D54" w14:textId="77777777" w:rsidR="005B131B" w:rsidRPr="005B131B" w:rsidRDefault="005B131B" w:rsidP="002973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  <w:t>Unit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79519DEB" w14:textId="77777777" w:rsidR="005B131B" w:rsidRPr="005B131B" w:rsidRDefault="005B131B" w:rsidP="002973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  <w:t>Description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4B242AB2" w14:textId="77777777" w:rsidR="005B131B" w:rsidRPr="005B131B" w:rsidRDefault="005B131B" w:rsidP="002973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  <w:t>Start date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4586BEEA" w14:textId="77777777" w:rsidR="005B131B" w:rsidRPr="005B131B" w:rsidRDefault="005B131B" w:rsidP="002973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  <w:t>End date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5D56DF16" w14:textId="77777777" w:rsidR="005B131B" w:rsidRPr="005B131B" w:rsidRDefault="005B131B" w:rsidP="002973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  <w:t>Resolution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center"/>
            <w:hideMark/>
          </w:tcPr>
          <w:p w14:paraId="68B94527" w14:textId="77777777" w:rsidR="005B131B" w:rsidRPr="005B131B" w:rsidRDefault="005B131B" w:rsidP="002973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  <w:t>Source</w:t>
            </w:r>
          </w:p>
        </w:tc>
      </w:tr>
      <w:tr w:rsidR="005874FF" w:rsidRPr="00AC3683" w14:paraId="57DFCBED" w14:textId="77777777" w:rsidTr="0036797A">
        <w:trPr>
          <w:trHeight w:val="29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E37C9" w14:textId="77777777" w:rsidR="005B131B" w:rsidRPr="005B131B" w:rsidRDefault="005B131B" w:rsidP="005B13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  <w:t>Power Demand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EDC69" w14:textId="77777777" w:rsidR="005B131B" w:rsidRPr="005B131B" w:rsidRDefault="005B131B" w:rsidP="005B13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5912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  <w:t>Target variable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7F8D6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  <w:t>Float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1CF6F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  <w:t>kW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F96CF" w14:textId="0004714E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  <w:t xml:space="preserve">Power demand of </w:t>
            </w:r>
            <w:r w:rsidR="00482E6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  <w:t xml:space="preserve">the </w:t>
            </w:r>
            <w:r w:rsidRPr="005B131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  <w:t>building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979F5" w14:textId="617646E9" w:rsidR="005B131B" w:rsidRPr="005B131B" w:rsidRDefault="005B131B" w:rsidP="005B13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  <w:t>1/1/22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8A877" w14:textId="3EF22D3F" w:rsidR="005B131B" w:rsidRPr="005B131B" w:rsidRDefault="005B131B" w:rsidP="005B13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  <w:t>12/31/23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38577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  <w:t>hourly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414D4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  <w:t>Sensors in the building</w:t>
            </w:r>
          </w:p>
        </w:tc>
      </w:tr>
      <w:tr w:rsidR="005874FF" w:rsidRPr="00AC3683" w14:paraId="3E33E4CF" w14:textId="77777777" w:rsidTr="0036797A">
        <w:trPr>
          <w:trHeight w:val="49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F24CE" w14:textId="77777777" w:rsidR="005B131B" w:rsidRPr="005B131B" w:rsidRDefault="005B131B" w:rsidP="005B13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Weather (outdoor)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C747" w14:textId="77777777" w:rsidR="005B131B" w:rsidRPr="005B131B" w:rsidRDefault="005B131B" w:rsidP="005B13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0E3D5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temperature_2m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13194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Float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7D461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°C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B705E" w14:textId="05528706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temperature at 2m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2ABE6" w14:textId="294C94F9" w:rsidR="005B131B" w:rsidRPr="005B131B" w:rsidRDefault="005B131B" w:rsidP="005B13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1/1/22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98A05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currently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B835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hourly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7B3A7" w14:textId="01C1C50C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Open-</w:t>
            </w:r>
            <w:proofErr w:type="spellStart"/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Meteo</w:t>
            </w:r>
            <w:proofErr w:type="spellEnd"/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 xml:space="preserve"> </w:t>
            </w:r>
          </w:p>
        </w:tc>
      </w:tr>
      <w:tr w:rsidR="005874FF" w:rsidRPr="00AC3683" w14:paraId="3C33C99C" w14:textId="77777777" w:rsidTr="0036797A">
        <w:trPr>
          <w:trHeight w:val="290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DBC8D" w14:textId="77777777" w:rsidR="005B131B" w:rsidRPr="005B131B" w:rsidRDefault="005B131B" w:rsidP="005B13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Feature Engineering</w:t>
            </w:r>
          </w:p>
        </w:tc>
        <w:tc>
          <w:tcPr>
            <w:tcW w:w="85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767E1" w14:textId="77777777" w:rsidR="005B131B" w:rsidRPr="005B131B" w:rsidRDefault="005B131B" w:rsidP="005B13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909D8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month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B548C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757BA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1 to 12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D3E61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Indicates the month of the record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EF7D6" w14:textId="4D42D5B3" w:rsidR="005B131B" w:rsidRPr="005B131B" w:rsidRDefault="005B131B" w:rsidP="005B13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1/1/22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6BC76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currently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8CE1C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hourly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800CF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Feature Engineering</w:t>
            </w:r>
          </w:p>
        </w:tc>
      </w:tr>
      <w:tr w:rsidR="005874FF" w:rsidRPr="00AC3683" w14:paraId="26A3AC6E" w14:textId="77777777" w:rsidTr="0036797A">
        <w:trPr>
          <w:trHeight w:val="290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CA394B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E04C0FF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CCCCE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 xml:space="preserve">hour 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9D055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A0A05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 xml:space="preserve">0 to 23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440D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 xml:space="preserve">Indicates the </w:t>
            </w:r>
            <w:proofErr w:type="gramStart"/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hour</w:t>
            </w:r>
            <w:proofErr w:type="gramEnd"/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 xml:space="preserve"> of the record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25F4C" w14:textId="49274051" w:rsidR="005B131B" w:rsidRPr="005B131B" w:rsidRDefault="005B131B" w:rsidP="005B13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1/1/22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E9F68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currently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6267B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hourly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F2463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Feature Engineering</w:t>
            </w:r>
          </w:p>
        </w:tc>
      </w:tr>
      <w:tr w:rsidR="005874FF" w:rsidRPr="00AC3683" w14:paraId="0DCFD775" w14:textId="77777777" w:rsidTr="0036797A">
        <w:trPr>
          <w:trHeight w:val="290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1AAFDB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AD951BB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13F70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proofErr w:type="spellStart"/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day_of_week</w:t>
            </w:r>
            <w:proofErr w:type="spellEnd"/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 xml:space="preserve"> 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B709F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C61CB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0 to 6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0A75F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Indicates the day of the week with integer numbers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1E6D0" w14:textId="55D24875" w:rsidR="005B131B" w:rsidRPr="005B131B" w:rsidRDefault="005B131B" w:rsidP="005B13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1/1/22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AAB5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currently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1A006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hourly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4B77C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Feature Engineering</w:t>
            </w:r>
          </w:p>
        </w:tc>
      </w:tr>
      <w:tr w:rsidR="005874FF" w:rsidRPr="00AC3683" w14:paraId="5B8E8BE8" w14:textId="77777777" w:rsidTr="0036797A">
        <w:trPr>
          <w:trHeight w:val="580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895AF3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730601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A133A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proofErr w:type="spellStart"/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hour_sin</w:t>
            </w:r>
            <w:proofErr w:type="spellEnd"/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0811F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Float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64F10" w14:textId="77777777" w:rsidR="005B131B" w:rsidRPr="005B131B" w:rsidRDefault="005B131B" w:rsidP="005B13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-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3F99F" w14:textId="2B262831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 xml:space="preserve">cyclic variables </w:t>
            </w:r>
            <w:r w:rsidR="00F84BCF"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to</w:t>
            </w: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 xml:space="preserve"> pass the information of periodicity to the models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C1650" w14:textId="50DB3BAD" w:rsidR="005B131B" w:rsidRPr="005B131B" w:rsidRDefault="005B131B" w:rsidP="005B13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1/1/22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0D4D4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currently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193B8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hourly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CD75B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Feature Engineering</w:t>
            </w:r>
          </w:p>
        </w:tc>
      </w:tr>
      <w:tr w:rsidR="005874FF" w:rsidRPr="00AC3683" w14:paraId="196466FD" w14:textId="77777777" w:rsidTr="0036797A">
        <w:trPr>
          <w:trHeight w:val="580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9A38EC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5866FF4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1C2A6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proofErr w:type="spellStart"/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hour_cos</w:t>
            </w:r>
            <w:proofErr w:type="spellEnd"/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 xml:space="preserve"> 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5406F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Float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5ABFB" w14:textId="77777777" w:rsidR="005B131B" w:rsidRPr="005B131B" w:rsidRDefault="005B131B" w:rsidP="005B13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-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384DD" w14:textId="5344B103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 xml:space="preserve">cyclic variables </w:t>
            </w:r>
            <w:r w:rsidR="00F84BCF"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to</w:t>
            </w: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 xml:space="preserve"> pass the information of periodicity to the models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CF378" w14:textId="18D80A01" w:rsidR="005B131B" w:rsidRPr="005B131B" w:rsidRDefault="005B131B" w:rsidP="005B13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1/1/22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50C9F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currently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1B48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hourly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D8C19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Feature Engineering</w:t>
            </w:r>
          </w:p>
        </w:tc>
      </w:tr>
      <w:tr w:rsidR="005874FF" w:rsidRPr="00AC3683" w14:paraId="3A1BBFD1" w14:textId="77777777" w:rsidTr="0036797A">
        <w:trPr>
          <w:trHeight w:val="580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CFAB76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F1A682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D9E7E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proofErr w:type="spellStart"/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day_sin</w:t>
            </w:r>
            <w:proofErr w:type="spellEnd"/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 xml:space="preserve"> 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63CBD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Float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4E6E3" w14:textId="77777777" w:rsidR="005B131B" w:rsidRPr="005B131B" w:rsidRDefault="005B131B" w:rsidP="005B13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-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A9691" w14:textId="0E5397DC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 xml:space="preserve">cyclic variables </w:t>
            </w:r>
            <w:r w:rsidR="00F84BCF"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to</w:t>
            </w: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 xml:space="preserve"> pass the information of periodicity to the models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EF525" w14:textId="4F8B27B5" w:rsidR="005B131B" w:rsidRPr="005B131B" w:rsidRDefault="005B131B" w:rsidP="005B13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1/1/22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F5652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currently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F655F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hourly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0E8B2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Feature Engineering</w:t>
            </w:r>
          </w:p>
        </w:tc>
      </w:tr>
      <w:tr w:rsidR="005874FF" w:rsidRPr="00AC3683" w14:paraId="160EACF8" w14:textId="77777777" w:rsidTr="0036797A">
        <w:trPr>
          <w:trHeight w:val="580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A95E2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4DA97" w14:textId="77777777" w:rsidR="005B131B" w:rsidRPr="005B131B" w:rsidRDefault="005B131B" w:rsidP="005B13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48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2A460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Lag Features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8E8B1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Float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3A4D8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kWh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7C471" w14:textId="37F59C6D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used to capture the temporal dependencies and patterns in time series data for the last 48hrs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7F1F4" w14:textId="2F91F991" w:rsidR="005B131B" w:rsidRPr="005B131B" w:rsidRDefault="005B131B" w:rsidP="005B13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1/1/22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DB62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currently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20BDB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hourly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D8E73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Feature Engineering</w:t>
            </w:r>
          </w:p>
        </w:tc>
      </w:tr>
      <w:tr w:rsidR="005874FF" w:rsidRPr="00AC3683" w14:paraId="31A55361" w14:textId="77777777" w:rsidTr="0036797A">
        <w:trPr>
          <w:trHeight w:val="870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0E5BBE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263F5" w14:textId="77777777" w:rsidR="005B131B" w:rsidRPr="005B131B" w:rsidRDefault="005B131B" w:rsidP="005B13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1A956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Hist Features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A2156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Float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D9297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kWh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DAD74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used to capture the temporal dependencies and patterns in time series data (same time for 3,4,5,6,7, and 14 days ago)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42BFC" w14:textId="7B50FEB2" w:rsidR="005B131B" w:rsidRPr="005B131B" w:rsidRDefault="005B131B" w:rsidP="005B13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1/14/22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82B4E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currently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2111F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hourly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7BE88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Feature Engineering</w:t>
            </w:r>
          </w:p>
        </w:tc>
      </w:tr>
      <w:tr w:rsidR="005874FF" w:rsidRPr="00AC3683" w14:paraId="7A256E51" w14:textId="77777777" w:rsidTr="0036797A">
        <w:trPr>
          <w:trHeight w:val="580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7C8043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163E0" w14:textId="77777777" w:rsidR="005B131B" w:rsidRPr="005B131B" w:rsidRDefault="005B131B" w:rsidP="005B13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18AE6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proofErr w:type="spellStart"/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is_closed_holiday</w:t>
            </w:r>
            <w:proofErr w:type="spellEnd"/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A8395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69F6D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binary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F108F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Binary characteristic (0 or 1) indicating whether it is a holiday that the mall is closed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B1073" w14:textId="7A1AD8F7" w:rsidR="005B131B" w:rsidRPr="005B131B" w:rsidRDefault="005B131B" w:rsidP="005B13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1/1/22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BEBA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currently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D331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hourly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1CEBF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Feature Engineering</w:t>
            </w:r>
          </w:p>
        </w:tc>
      </w:tr>
      <w:tr w:rsidR="005874FF" w:rsidRPr="00AC3683" w14:paraId="08F7D9B1" w14:textId="77777777" w:rsidTr="0036797A">
        <w:trPr>
          <w:trHeight w:val="580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062013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093C1D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3FBC1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proofErr w:type="spellStart"/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is_open_holiday</w:t>
            </w:r>
            <w:proofErr w:type="spellEnd"/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DDF12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3AC13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binary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D3C87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 xml:space="preserve">Binary characteristic (0 or 1) </w:t>
            </w:r>
            <w:proofErr w:type="gramStart"/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indicating</w:t>
            </w:r>
            <w:proofErr w:type="gramEnd"/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 xml:space="preserve"> whether it is a holiday that the mall is open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E8E6" w14:textId="4ABFB213" w:rsidR="005B131B" w:rsidRPr="005B131B" w:rsidRDefault="005B131B" w:rsidP="005B13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1/1/22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EA1F0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currently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73A9F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hourly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0B5B7" w14:textId="77777777" w:rsidR="005B131B" w:rsidRPr="005B131B" w:rsidRDefault="005B131B" w:rsidP="005B131B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</w:pPr>
            <w:r w:rsidRPr="005B131B">
              <w:rPr>
                <w:rFonts w:ascii="Aptos Narrow" w:eastAsia="Times New Roman" w:hAnsi="Aptos Narrow" w:cs="Times New Roman"/>
                <w:kern w:val="0"/>
                <w:sz w:val="16"/>
                <w:szCs w:val="16"/>
                <w:lang w:eastAsia="pt-PT"/>
                <w14:ligatures w14:val="none"/>
              </w:rPr>
              <w:t>Feature Engineering</w:t>
            </w:r>
          </w:p>
        </w:tc>
      </w:tr>
    </w:tbl>
    <w:p w14:paraId="7910F52B" w14:textId="77777777" w:rsidR="006129F8" w:rsidRDefault="006129F8"/>
    <w:p w14:paraId="1CCE11D4" w14:textId="50E8DE23" w:rsidR="004316F8" w:rsidRDefault="004316F8">
      <w:r w:rsidRPr="004316F8">
        <w:t xml:space="preserve">Among the evaluated models, the following were implemented: Linear Regression, Random Forest, Support Vector Regression (SVR), </w:t>
      </w:r>
      <w:r w:rsidR="00671332">
        <w:t>Artificial Neural Networks (ANN)</w:t>
      </w:r>
      <w:r w:rsidRPr="004316F8">
        <w:t>, and Extreme Gradient Boosting (</w:t>
      </w:r>
      <w:proofErr w:type="spellStart"/>
      <w:r w:rsidRPr="004316F8">
        <w:t>XGBoost</w:t>
      </w:r>
      <w:proofErr w:type="spellEnd"/>
      <w:r w:rsidRPr="004316F8">
        <w:t>)</w:t>
      </w:r>
      <w:r w:rsidR="00973C15">
        <w:t xml:space="preserve"> </w:t>
      </w:r>
      <w:r w:rsidR="00973C15">
        <w:fldChar w:fldCharType="begin"/>
      </w:r>
      <w:r w:rsidR="00973C15">
        <w:instrText xml:space="preserve"> ADDIN EN.CITE &lt;EndNote&gt;&lt;Cite&gt;&lt;Author&gt;Chen&lt;/Author&gt;&lt;Year&gt;2016&lt;/Year&gt;&lt;RecNum&gt;150&lt;/RecNum&gt;&lt;DisplayText&gt;[1]&lt;/DisplayText&gt;&lt;record&gt;&lt;rec-number&gt;150&lt;/rec-number&gt;&lt;foreign-keys&gt;&lt;key app="EN" db-id="seps52e0u5txpbestptpt5syvzd5w9sardas" timestamp="1734713553"&gt;150&lt;/key&gt;&lt;/foreign-keys&gt;&lt;ref-type name="Conference Paper"&gt;47&lt;/ref-type&gt;&lt;contributors&gt;&lt;authors&gt;&lt;author&gt;Tianqi Chen&lt;/author&gt;&lt;author&gt;Carlos Guestrin&lt;/author&gt;&lt;/authors&gt;&lt;/contributors&gt;&lt;titles&gt;&lt;title&gt;XGBoost: A Scalable Tree Boosting System&lt;/title&gt;&lt;secondary-title&gt;Proceedings of the 22nd ACM SIGKDD International Conference on Knowledge Discovery and Data Mining&lt;/secondary-title&gt;&lt;/titles&gt;&lt;pages&gt;785–794&lt;/pages&gt;&lt;keywords&gt;&lt;keyword&gt;large-scale machine learning&lt;/keyword&gt;&lt;/keywords&gt;&lt;dates&gt;&lt;year&gt;2016&lt;/year&gt;&lt;/dates&gt;&lt;pub-location&gt;San Francisco, California, USA&lt;/pub-location&gt;&lt;publisher&gt;Association for Computing Machinery&lt;/publisher&gt;&lt;urls&gt;&lt;related-urls&gt;&lt;url&gt;https://doi.org/10.1145/2939672.2939785&lt;/url&gt;&lt;/related-urls&gt;&lt;/urls&gt;&lt;electronic-resource-num&gt;10.1145/2939672.2939785&lt;/electronic-resource-num&gt;&lt;/record&gt;&lt;/Cite&gt;&lt;/EndNote&gt;</w:instrText>
      </w:r>
      <w:r w:rsidR="00973C15">
        <w:fldChar w:fldCharType="separate"/>
      </w:r>
      <w:r w:rsidR="00973C15">
        <w:rPr>
          <w:noProof/>
        </w:rPr>
        <w:t>[1]</w:t>
      </w:r>
      <w:r w:rsidR="00973C15">
        <w:fldChar w:fldCharType="end"/>
      </w:r>
      <w:r w:rsidRPr="004316F8">
        <w:t xml:space="preserve">. Hyperparameter tuning was conducted using the </w:t>
      </w:r>
      <w:proofErr w:type="spellStart"/>
      <w:r w:rsidRPr="004316F8">
        <w:t>Optuna</w:t>
      </w:r>
      <w:proofErr w:type="spellEnd"/>
      <w:r w:rsidRPr="004316F8">
        <w:t xml:space="preserve"> optimization framework </w:t>
      </w:r>
      <w:r w:rsidR="00671332">
        <w:fldChar w:fldCharType="begin"/>
      </w:r>
      <w:r w:rsidR="00973C15">
        <w:instrText xml:space="preserve"> ADDIN EN.CITE &lt;EndNote&gt;&lt;Cite&gt;&lt;Author&gt;Akiba&lt;/Author&gt;&lt;Year&gt;2019&lt;/Year&gt;&lt;RecNum&gt;152&lt;/RecNum&gt;&lt;DisplayText&gt;[2]&lt;/DisplayText&gt;&lt;record&gt;&lt;rec-number&gt;152&lt;/rec-number&gt;&lt;foreign-keys&gt;&lt;key app="EN" db-id="seps52e0u5txpbestptpt5syvzd5w9sardas" timestamp="1734714340"&gt;152&lt;/key&gt;&lt;/foreign-keys&gt;&lt;ref-type name="Conference Paper"&gt;47&lt;/ref-type&gt;&lt;contributors&gt;&lt;authors&gt;&lt;author&gt;Takuya Akiba&lt;/author&gt;&lt;author&gt;Shotaro Sano&lt;/author&gt;&lt;author&gt;Toshihiko Yanase&lt;/author&gt;&lt;author&gt;Takeru Ohta&lt;/author&gt;&lt;author&gt;Masanori Koyama&lt;/author&gt;&lt;/authors&gt;&lt;/contributors&gt;&lt;titles&gt;&lt;title&gt;Optuna: A Next-generation Hyperparameter Optimization Framework&lt;/title&gt;&lt;secondary-title&gt;Proceedings of the 25th ACM SIGKDD International Conference on Knowledge Discovery &amp;amp; Data Mining&lt;/secondary-title&gt;&lt;/titles&gt;&lt;pages&gt;2623–2631&lt;/pages&gt;&lt;keywords&gt;&lt;keyword&gt;Bayesian optimization, black-box optimization, hyperparameter optimization, machine learning system&lt;/keyword&gt;&lt;/keywords&gt;&lt;dates&gt;&lt;year&gt;2019&lt;/year&gt;&lt;/dates&gt;&lt;pub-location&gt;Anchorage, AK, USA&lt;/pub-location&gt;&lt;publisher&gt;Association for Computing Machinery&lt;/publisher&gt;&lt;urls&gt;&lt;related-urls&gt;&lt;url&gt;https://doi.org/10.1145/3292500.3330701&lt;/url&gt;&lt;/related-urls&gt;&lt;/urls&gt;&lt;electronic-resource-num&gt;10.1145/3292500.3330701&lt;/electronic-resource-num&gt;&lt;/record&gt;&lt;/Cite&gt;&lt;/EndNote&gt;</w:instrText>
      </w:r>
      <w:r w:rsidR="00671332">
        <w:fldChar w:fldCharType="separate"/>
      </w:r>
      <w:r w:rsidR="00973C15">
        <w:rPr>
          <w:noProof/>
        </w:rPr>
        <w:t>[2]</w:t>
      </w:r>
      <w:r w:rsidR="00671332">
        <w:fldChar w:fldCharType="end"/>
      </w:r>
      <w:r w:rsidR="00671332">
        <w:t xml:space="preserve"> </w:t>
      </w:r>
      <w:r w:rsidRPr="004316F8">
        <w:t>in Python</w:t>
      </w:r>
      <w:r w:rsidR="00671332">
        <w:t xml:space="preserve"> </w:t>
      </w:r>
      <w:r w:rsidR="00671332">
        <w:fldChar w:fldCharType="begin"/>
      </w:r>
      <w:r w:rsidR="00973C15">
        <w:instrText xml:space="preserve"> ADDIN EN.CITE &lt;EndNote&gt;&lt;Cite&gt;&lt;Author&gt;Van Rossum&lt;/Author&gt;&lt;Year&gt;1995&lt;/Year&gt;&lt;RecNum&gt;151&lt;/RecNum&gt;&lt;DisplayText&gt;[3]&lt;/DisplayText&gt;&lt;record&gt;&lt;rec-number&gt;151&lt;/rec-number&gt;&lt;foreign-keys&gt;&lt;key app="EN" db-id="seps52e0u5txpbestptpt5syvzd5w9sardas" timestamp="1734713964"&gt;151&lt;/key&gt;&lt;/foreign-keys&gt;&lt;ref-type name="Book"&gt;6&lt;/ref-type&gt;&lt;contributors&gt;&lt;authors&gt;&lt;author&gt;Van Rossum, Guido&lt;/author&gt;&lt;author&gt;Drake, Fred L&lt;/author&gt;&lt;/authors&gt;&lt;/contributors&gt;&lt;titles&gt;&lt;title&gt;Python reference manual&lt;/title&gt;&lt;/titles&gt;&lt;volume&gt;111&lt;/volume&gt;&lt;dates&gt;&lt;year&gt;1995&lt;/year&gt;&lt;/dates&gt;&lt;publisher&gt;Centrum voor Wiskunde en Informatica Amsterdam&lt;/publisher&gt;&lt;urls&gt;&lt;/urls&gt;&lt;/record&gt;&lt;/Cite&gt;&lt;/EndNote&gt;</w:instrText>
      </w:r>
      <w:r w:rsidR="00671332">
        <w:fldChar w:fldCharType="separate"/>
      </w:r>
      <w:r w:rsidR="00973C15">
        <w:rPr>
          <w:noProof/>
        </w:rPr>
        <w:t>[3]</w:t>
      </w:r>
      <w:r w:rsidR="00671332">
        <w:fldChar w:fldCharType="end"/>
      </w:r>
      <w:r w:rsidRPr="004316F8">
        <w:t xml:space="preserve">, which allowed for an efficient and automated search of the optimal parameter configurations. The use of </w:t>
      </w:r>
      <w:proofErr w:type="spellStart"/>
      <w:r w:rsidRPr="004316F8">
        <w:t>Optuna</w:t>
      </w:r>
      <w:proofErr w:type="spellEnd"/>
      <w:r w:rsidRPr="004316F8">
        <w:t xml:space="preserve"> provided significant advantages, including faster convergence, support for pruning unpromising trials, and seamless integration with scikit-learn pipelines</w:t>
      </w:r>
      <w:r w:rsidR="00973C15">
        <w:t xml:space="preserve"> </w:t>
      </w:r>
      <w:r w:rsidR="00973C15">
        <w:fldChar w:fldCharType="begin"/>
      </w:r>
      <w:r w:rsidR="00973C15">
        <w:instrText xml:space="preserve"> ADDIN EN.CITE &lt;EndNote&gt;&lt;Cite&gt;&lt;Author&gt;Pedregosa&lt;/Author&gt;&lt;Year&gt;2011&lt;/Year&gt;&lt;RecNum&gt;134&lt;/RecNum&gt;&lt;DisplayText&gt;[4]&lt;/DisplayText&gt;&lt;record&gt;&lt;rec-number&gt;134&lt;/rec-number&gt;&lt;foreign-keys&gt;&lt;key app="EN" db-id="seps52e0u5txpbestptpt5syvzd5w9sardas" timestamp="1720798963"&gt;134&lt;/key&gt;&lt;/foreign-keys&gt;&lt;ref-type name="Journal Article"&gt;17&lt;/ref-type&gt;&lt;contributors&gt;&lt;authors&gt;&lt;author&gt;Pedregosa, Fabian&lt;/author&gt;&lt;author&gt;Varoquaux, Gaël&lt;/author&gt;&lt;author&gt;Gramfort, Alexandre&lt;/author&gt;&lt;author&gt;Michel, Vincent&lt;/author&gt;&lt;author&gt;Thirion, Bertrand&lt;/author&gt;&lt;author&gt;Grisel, Olivier&lt;/author&gt;&lt;author&gt;Blondel, Mathieu&lt;/author&gt;&lt;author&gt;Prettenhofer, Peter&lt;/author&gt;&lt;author&gt;Weiss, Ron&lt;/author&gt;&lt;author&gt;Dubourg, Vincent&lt;/author&gt;&lt;/authors&gt;&lt;/contributors&gt;&lt;titles&gt;&lt;title&gt;Scikit-learn: Machine learning in Python&lt;/title&gt;&lt;secondary-title&gt;the Journal of machine Learning research&lt;/secondary-title&gt;&lt;/titles&gt;&lt;periodical&gt;&lt;full-title&gt;the Journal of machine Learning research&lt;/full-title&gt;&lt;/periodical&gt;&lt;pages&gt;2825-2830&lt;/pages&gt;&lt;volume&gt;12&lt;/volume&gt;&lt;dates&gt;&lt;year&gt;2011&lt;/year&gt;&lt;/dates&gt;&lt;isbn&gt;1532-4435&lt;/isbn&gt;&lt;urls&gt;&lt;/urls&gt;&lt;/record&gt;&lt;/Cite&gt;&lt;/EndNote&gt;</w:instrText>
      </w:r>
      <w:r w:rsidR="00973C15">
        <w:fldChar w:fldCharType="separate"/>
      </w:r>
      <w:r w:rsidR="00973C15">
        <w:rPr>
          <w:noProof/>
        </w:rPr>
        <w:t>[4]</w:t>
      </w:r>
      <w:r w:rsidR="00973C15">
        <w:fldChar w:fldCharType="end"/>
      </w:r>
      <w:r w:rsidRPr="004316F8">
        <w:t>.</w:t>
      </w:r>
    </w:p>
    <w:p w14:paraId="306E1251" w14:textId="4DE1FDA6" w:rsidR="00DF0C1C" w:rsidRDefault="007B3AC0">
      <w:r>
        <w:lastRenderedPageBreak/>
        <w:fldChar w:fldCharType="begin"/>
      </w:r>
      <w:r>
        <w:instrText xml:space="preserve"> REF _Ref197423405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</w:t>
      </w:r>
      <w:r w:rsidR="00DF0C1C" w:rsidRPr="00DF0C1C">
        <w:t xml:space="preserve">illustrates the top 20 most important features identified by the </w:t>
      </w:r>
      <w:proofErr w:type="spellStart"/>
      <w:r w:rsidR="00DF0C1C" w:rsidRPr="00DF0C1C">
        <w:t>XGBoost</w:t>
      </w:r>
      <w:proofErr w:type="spellEnd"/>
      <w:r w:rsidR="00DF0C1C" w:rsidRPr="00DF0C1C">
        <w:t xml:space="preserve"> model, highlighting the variables that contributed most significantly to predictive performance. This insight is crucial for understanding the underlying data structure and for guiding future data collection efforts.</w:t>
      </w:r>
    </w:p>
    <w:p w14:paraId="34D4B88A" w14:textId="77777777" w:rsidR="008D3377" w:rsidRDefault="000B5157" w:rsidP="008D3377">
      <w:pPr>
        <w:keepNext/>
      </w:pPr>
      <w:r>
        <w:rPr>
          <w:noProof/>
        </w:rPr>
        <w:drawing>
          <wp:inline distT="0" distB="0" distL="0" distR="0" wp14:anchorId="3FD9179B" wp14:editId="6AF1DDA6">
            <wp:extent cx="5400040" cy="3227705"/>
            <wp:effectExtent l="0" t="0" r="0" b="0"/>
            <wp:docPr id="1800018078" name="Picture 2" descr="A bar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18078" name="Picture 2" descr="A bar graph with blu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265DF" w14:textId="4CA8D0F7" w:rsidR="00D22121" w:rsidRDefault="008D3377" w:rsidP="008D3377">
      <w:pPr>
        <w:pStyle w:val="Caption"/>
      </w:pPr>
      <w:bookmarkStart w:id="2" w:name="_Ref19742340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80C5D">
        <w:rPr>
          <w:noProof/>
        </w:rPr>
        <w:t>1</w:t>
      </w:r>
      <w:r>
        <w:fldChar w:fldCharType="end"/>
      </w:r>
      <w:bookmarkEnd w:id="2"/>
      <w:r>
        <w:t xml:space="preserve"> - Top 20 features</w:t>
      </w:r>
    </w:p>
    <w:p w14:paraId="74B9C2E5" w14:textId="77777777" w:rsidR="003568EA" w:rsidRDefault="003568EA" w:rsidP="003568EA"/>
    <w:p w14:paraId="532CC8E6" w14:textId="60F93BB7" w:rsidR="008047A4" w:rsidRDefault="008047A4" w:rsidP="003568EA">
      <w:r>
        <w:fldChar w:fldCharType="begin"/>
      </w:r>
      <w:r>
        <w:instrText xml:space="preserve"> REF _Ref197514244 \h </w:instrText>
      </w:r>
      <w:r>
        <w:fldChar w:fldCharType="separate"/>
      </w:r>
      <w:r>
        <w:t xml:space="preserve">Table </w:t>
      </w:r>
      <w:r>
        <w:rPr>
          <w:noProof/>
        </w:rPr>
        <w:t>2</w:t>
      </w:r>
      <w:r>
        <w:fldChar w:fldCharType="end"/>
      </w:r>
      <w:r w:rsidRPr="008047A4">
        <w:t xml:space="preserve"> presents a comprehensive comparison of model performance using standard error metrics: R², RMSE, MSE, MAE, and MAPE. Additionally, the table includes training and inference times for each model, providing a holistic view of both predictive accuracy and computational efficiency.</w:t>
      </w:r>
    </w:p>
    <w:p w14:paraId="0A7005EE" w14:textId="07650F9F" w:rsidR="001B6226" w:rsidRDefault="001B6226" w:rsidP="001B6226">
      <w:pPr>
        <w:pStyle w:val="Caption"/>
        <w:keepNext/>
      </w:pPr>
      <w:bookmarkStart w:id="3" w:name="_Ref19751424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3"/>
      <w:r>
        <w:t xml:space="preserve"> - </w:t>
      </w:r>
      <w:r w:rsidRPr="00324E88">
        <w:t>Performance and error metrics summary.</w:t>
      </w:r>
    </w:p>
    <w:tbl>
      <w:tblPr>
        <w:tblW w:w="91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5"/>
        <w:gridCol w:w="810"/>
        <w:gridCol w:w="754"/>
        <w:gridCol w:w="977"/>
        <w:gridCol w:w="789"/>
        <w:gridCol w:w="900"/>
        <w:gridCol w:w="1530"/>
        <w:gridCol w:w="1620"/>
      </w:tblGrid>
      <w:tr w:rsidR="004E6D9D" w:rsidRPr="004E6D9D" w14:paraId="6E7715F1" w14:textId="77777777" w:rsidTr="004E6D9D">
        <w:trPr>
          <w:trHeight w:val="59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0E538" w14:textId="77777777" w:rsidR="004E6D9D" w:rsidRPr="004E6D9D" w:rsidRDefault="004E6D9D" w:rsidP="004E6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4E6D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Model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5542" w14:textId="77777777" w:rsidR="004E6D9D" w:rsidRPr="004E6D9D" w:rsidRDefault="004E6D9D" w:rsidP="004E6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4E6D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R2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19C7E" w14:textId="77777777" w:rsidR="004E6D9D" w:rsidRPr="004E6D9D" w:rsidRDefault="004E6D9D" w:rsidP="004E6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4E6D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RMSE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D6D9B" w14:textId="77777777" w:rsidR="004E6D9D" w:rsidRPr="004E6D9D" w:rsidRDefault="004E6D9D" w:rsidP="004E6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4E6D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MSE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2B95C" w14:textId="77777777" w:rsidR="004E6D9D" w:rsidRPr="004E6D9D" w:rsidRDefault="004E6D9D" w:rsidP="004E6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4E6D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MAE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DE765" w14:textId="77777777" w:rsidR="004E6D9D" w:rsidRPr="004E6D9D" w:rsidRDefault="004E6D9D" w:rsidP="004E6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4E6D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MAPE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2F9E2" w14:textId="6D12D8E2" w:rsidR="004E6D9D" w:rsidRPr="004E6D9D" w:rsidRDefault="004E6D9D" w:rsidP="004E6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4E6D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 xml:space="preserve">Total Training time </w:t>
            </w:r>
            <w:r w:rsidR="001217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[</w:t>
            </w:r>
            <w:r w:rsidRPr="004E6D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seconds</w:t>
            </w:r>
            <w:r w:rsidR="001217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]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95E64" w14:textId="69DDF591" w:rsidR="004E6D9D" w:rsidRPr="004E6D9D" w:rsidRDefault="004E6D9D" w:rsidP="004E6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4E6D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 xml:space="preserve">Total Prediction time </w:t>
            </w:r>
            <w:r w:rsidR="001217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[</w:t>
            </w:r>
            <w:r w:rsidRPr="004E6D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seconds</w:t>
            </w:r>
            <w:r w:rsidR="001217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]</w:t>
            </w:r>
          </w:p>
        </w:tc>
      </w:tr>
      <w:tr w:rsidR="004E6D9D" w:rsidRPr="004E6D9D" w14:paraId="12841B10" w14:textId="77777777" w:rsidTr="004E6D9D">
        <w:trPr>
          <w:trHeight w:val="29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A2CD" w14:textId="77777777" w:rsidR="004E6D9D" w:rsidRPr="004E6D9D" w:rsidRDefault="004E6D9D" w:rsidP="004E6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proofErr w:type="spellStart"/>
            <w:r w:rsidRPr="004E6D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XGBoost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942D" w14:textId="77777777" w:rsidR="004E6D9D" w:rsidRPr="004E6D9D" w:rsidRDefault="004E6D9D" w:rsidP="004E6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4E6D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0.9811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445EF" w14:textId="77777777" w:rsidR="004E6D9D" w:rsidRPr="004E6D9D" w:rsidRDefault="004E6D9D" w:rsidP="004E6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4E6D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82.77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BB586" w14:textId="77777777" w:rsidR="004E6D9D" w:rsidRPr="004E6D9D" w:rsidRDefault="004E6D9D" w:rsidP="004E6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4E6D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6850.90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F8509" w14:textId="77777777" w:rsidR="004E6D9D" w:rsidRPr="004E6D9D" w:rsidRDefault="004E6D9D" w:rsidP="004E6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4E6D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46.91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F7C51" w14:textId="77777777" w:rsidR="004E6D9D" w:rsidRPr="004E6D9D" w:rsidRDefault="004E6D9D" w:rsidP="004E6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4E6D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6.19%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1054C" w14:textId="77777777" w:rsidR="004E6D9D" w:rsidRPr="004E6D9D" w:rsidRDefault="004E6D9D" w:rsidP="004E6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4E6D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4.53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EE3A" w14:textId="77777777" w:rsidR="004E6D9D" w:rsidRPr="004E6D9D" w:rsidRDefault="004E6D9D" w:rsidP="004E6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4E6D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0.018</w:t>
            </w:r>
          </w:p>
        </w:tc>
      </w:tr>
      <w:tr w:rsidR="004E6D9D" w:rsidRPr="004E6D9D" w14:paraId="18F10F6A" w14:textId="77777777" w:rsidTr="004E6D9D">
        <w:trPr>
          <w:trHeight w:val="29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EEF2E" w14:textId="77777777" w:rsidR="004E6D9D" w:rsidRPr="004E6D9D" w:rsidRDefault="004E6D9D" w:rsidP="004E6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4E6D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Linear Regression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AA4A8" w14:textId="77777777" w:rsidR="004E6D9D" w:rsidRPr="004E6D9D" w:rsidRDefault="004E6D9D" w:rsidP="004E6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4E6D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0.9556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9F10" w14:textId="77777777" w:rsidR="004E6D9D" w:rsidRPr="004E6D9D" w:rsidRDefault="004E6D9D" w:rsidP="004E6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4E6D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126.81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22771" w14:textId="77777777" w:rsidR="004E6D9D" w:rsidRPr="004E6D9D" w:rsidRDefault="004E6D9D" w:rsidP="004E6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4E6D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16081.27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FF2FE" w14:textId="77777777" w:rsidR="004E6D9D" w:rsidRPr="004E6D9D" w:rsidRDefault="004E6D9D" w:rsidP="004E6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4E6D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79.58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9C50E" w14:textId="77777777" w:rsidR="004E6D9D" w:rsidRPr="004E6D9D" w:rsidRDefault="004E6D9D" w:rsidP="004E6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4E6D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10.37%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96834" w14:textId="77777777" w:rsidR="004E6D9D" w:rsidRPr="004E6D9D" w:rsidRDefault="004E6D9D" w:rsidP="004E6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4E6D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0.03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F5C9F" w14:textId="77777777" w:rsidR="004E6D9D" w:rsidRPr="004E6D9D" w:rsidRDefault="004E6D9D" w:rsidP="004E6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4E6D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0.001</w:t>
            </w:r>
          </w:p>
        </w:tc>
      </w:tr>
      <w:tr w:rsidR="004E6D9D" w:rsidRPr="004E6D9D" w14:paraId="3F261151" w14:textId="77777777" w:rsidTr="004E6D9D">
        <w:trPr>
          <w:trHeight w:val="29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0C34" w14:textId="77777777" w:rsidR="004E6D9D" w:rsidRPr="004E6D9D" w:rsidRDefault="004E6D9D" w:rsidP="004E6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4E6D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Random Forest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617A8" w14:textId="77777777" w:rsidR="004E6D9D" w:rsidRPr="004E6D9D" w:rsidRDefault="004E6D9D" w:rsidP="004E6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4E6D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0.9774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6701B" w14:textId="77777777" w:rsidR="004E6D9D" w:rsidRPr="004E6D9D" w:rsidRDefault="004E6D9D" w:rsidP="004E6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4E6D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90.55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A12F" w14:textId="77777777" w:rsidR="004E6D9D" w:rsidRPr="004E6D9D" w:rsidRDefault="004E6D9D" w:rsidP="004E6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4E6D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8199.67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F7F0F" w14:textId="77777777" w:rsidR="004E6D9D" w:rsidRPr="004E6D9D" w:rsidRDefault="004E6D9D" w:rsidP="004E6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4E6D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45.48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A4D60" w14:textId="77777777" w:rsidR="004E6D9D" w:rsidRPr="004E6D9D" w:rsidRDefault="004E6D9D" w:rsidP="004E6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4E6D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5.68%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71724" w14:textId="77777777" w:rsidR="004E6D9D" w:rsidRPr="004E6D9D" w:rsidRDefault="004E6D9D" w:rsidP="004E6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4E6D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40.66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FB3EA" w14:textId="77777777" w:rsidR="004E6D9D" w:rsidRPr="004E6D9D" w:rsidRDefault="004E6D9D" w:rsidP="004E6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4E6D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0.018</w:t>
            </w:r>
          </w:p>
        </w:tc>
      </w:tr>
      <w:tr w:rsidR="004E6D9D" w:rsidRPr="004E6D9D" w14:paraId="6CD954C1" w14:textId="77777777" w:rsidTr="004E6D9D">
        <w:trPr>
          <w:trHeight w:val="29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2D43" w14:textId="77777777" w:rsidR="004E6D9D" w:rsidRPr="004E6D9D" w:rsidRDefault="004E6D9D" w:rsidP="004E6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4E6D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ANN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C3F35" w14:textId="77777777" w:rsidR="004E6D9D" w:rsidRPr="004E6D9D" w:rsidRDefault="004E6D9D" w:rsidP="004E6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4E6D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0.9676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17BE5" w14:textId="77777777" w:rsidR="004E6D9D" w:rsidRPr="004E6D9D" w:rsidRDefault="004E6D9D" w:rsidP="004E6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4E6D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108.41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AB70A" w14:textId="77777777" w:rsidR="004E6D9D" w:rsidRPr="004E6D9D" w:rsidRDefault="004E6D9D" w:rsidP="004E6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4E6D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11753.46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CD2F8" w14:textId="77777777" w:rsidR="004E6D9D" w:rsidRPr="004E6D9D" w:rsidRDefault="004E6D9D" w:rsidP="004E6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4E6D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66.10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67A36" w14:textId="77777777" w:rsidR="004E6D9D" w:rsidRPr="004E6D9D" w:rsidRDefault="004E6D9D" w:rsidP="004E6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4E6D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9.36%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B6F38" w14:textId="77777777" w:rsidR="004E6D9D" w:rsidRPr="004E6D9D" w:rsidRDefault="004E6D9D" w:rsidP="004E6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4E6D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80.26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665B9" w14:textId="77777777" w:rsidR="004E6D9D" w:rsidRPr="004E6D9D" w:rsidRDefault="004E6D9D" w:rsidP="004E6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4E6D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0.009</w:t>
            </w:r>
          </w:p>
        </w:tc>
      </w:tr>
      <w:tr w:rsidR="004E6D9D" w:rsidRPr="004E6D9D" w14:paraId="7DA6798C" w14:textId="77777777" w:rsidTr="004E6D9D">
        <w:trPr>
          <w:trHeight w:val="29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55530" w14:textId="77777777" w:rsidR="004E6D9D" w:rsidRPr="004E6D9D" w:rsidRDefault="004E6D9D" w:rsidP="004E6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4E6D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SVR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13FD" w14:textId="77777777" w:rsidR="004E6D9D" w:rsidRPr="004E6D9D" w:rsidRDefault="004E6D9D" w:rsidP="004E6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4E6D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0.9536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5ACEC" w14:textId="77777777" w:rsidR="004E6D9D" w:rsidRPr="004E6D9D" w:rsidRDefault="004E6D9D" w:rsidP="004E6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4E6D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129.66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7B5AC" w14:textId="77777777" w:rsidR="004E6D9D" w:rsidRPr="004E6D9D" w:rsidRDefault="004E6D9D" w:rsidP="004E6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4E6D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16810.93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15C75" w14:textId="77777777" w:rsidR="004E6D9D" w:rsidRPr="004E6D9D" w:rsidRDefault="004E6D9D" w:rsidP="004E6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4E6D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75.77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4A73A" w14:textId="77777777" w:rsidR="004E6D9D" w:rsidRPr="004E6D9D" w:rsidRDefault="004E6D9D" w:rsidP="004E6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4E6D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8.89%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05B25" w14:textId="77777777" w:rsidR="004E6D9D" w:rsidRPr="004E6D9D" w:rsidRDefault="004E6D9D" w:rsidP="004E6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4E6D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10.35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59D0C" w14:textId="77777777" w:rsidR="004E6D9D" w:rsidRPr="004E6D9D" w:rsidRDefault="004E6D9D" w:rsidP="004E6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4E6D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0.732</w:t>
            </w:r>
          </w:p>
        </w:tc>
      </w:tr>
    </w:tbl>
    <w:p w14:paraId="2E833AE7" w14:textId="77777777" w:rsidR="003E4966" w:rsidRDefault="003E4966" w:rsidP="003568EA"/>
    <w:p w14:paraId="5E7A122C" w14:textId="0BD0E6D5" w:rsidR="007E5ED4" w:rsidRDefault="00D21282" w:rsidP="003568EA">
      <w:r w:rsidRPr="00D21282">
        <w:t xml:space="preserve">To further assess model behavior, </w:t>
      </w:r>
      <w:r w:rsidR="007A19BD">
        <w:fldChar w:fldCharType="begin"/>
      </w:r>
      <w:r w:rsidR="007A19BD">
        <w:instrText xml:space="preserve"> REF _Ref197514640 \h </w:instrText>
      </w:r>
      <w:r w:rsidR="007A19BD">
        <w:fldChar w:fldCharType="separate"/>
      </w:r>
      <w:r w:rsidR="007A19BD">
        <w:t xml:space="preserve">Figure </w:t>
      </w:r>
      <w:r w:rsidR="007A19BD">
        <w:rPr>
          <w:noProof/>
        </w:rPr>
        <w:t>2</w:t>
      </w:r>
      <w:r w:rsidR="007A19BD">
        <w:fldChar w:fldCharType="end"/>
      </w:r>
      <w:r w:rsidRPr="00D21282">
        <w:t xml:space="preserve"> through </w:t>
      </w:r>
      <w:r w:rsidR="003552C6">
        <w:fldChar w:fldCharType="begin"/>
      </w:r>
      <w:r w:rsidR="003552C6">
        <w:instrText xml:space="preserve"> REF _Ref197514621 \h </w:instrText>
      </w:r>
      <w:r w:rsidR="003552C6">
        <w:fldChar w:fldCharType="separate"/>
      </w:r>
      <w:r w:rsidR="003552C6">
        <w:t xml:space="preserve">Figure </w:t>
      </w:r>
      <w:r w:rsidR="003552C6">
        <w:rPr>
          <w:noProof/>
        </w:rPr>
        <w:t>6</w:t>
      </w:r>
      <w:r w:rsidR="003552C6">
        <w:fldChar w:fldCharType="end"/>
      </w:r>
      <w:r w:rsidRPr="00D21282">
        <w:t xml:space="preserve"> display scatter plots of prediction errors for each model. These visualizations are instrumental in identifying patterns of under</w:t>
      </w:r>
      <w:r w:rsidR="00406BFC">
        <w:t>estimation</w:t>
      </w:r>
      <w:r w:rsidRPr="00D21282">
        <w:t xml:space="preserve"> or overestimation, heteroscedasticity, and potential outliers, thereby offering a deeper understanding of model reliability across the prediction range.</w:t>
      </w:r>
    </w:p>
    <w:p w14:paraId="68C5AFBE" w14:textId="60CAB894" w:rsidR="00E2245A" w:rsidRDefault="00E2245A" w:rsidP="00E2245A">
      <w:pPr>
        <w:keepNext/>
      </w:pPr>
    </w:p>
    <w:p w14:paraId="372C3407" w14:textId="0424500E" w:rsidR="00872ED0" w:rsidRDefault="00872ED0" w:rsidP="00202770">
      <w:pPr>
        <w:keepNext/>
        <w:jc w:val="center"/>
      </w:pPr>
      <w:r>
        <w:rPr>
          <w:noProof/>
        </w:rPr>
        <w:drawing>
          <wp:inline distT="0" distB="0" distL="0" distR="0" wp14:anchorId="00172845" wp14:editId="19F7EF56">
            <wp:extent cx="3562721" cy="3275937"/>
            <wp:effectExtent l="0" t="0" r="0" b="1270"/>
            <wp:docPr id="1361132464" name="Picture 9" descr="A graph of a graph of pow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32464" name="Picture 9" descr="A graph of a graph of pow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329" cy="328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1ED6B" w14:textId="628E68F6" w:rsidR="00D82AC5" w:rsidRDefault="00E2245A" w:rsidP="00202770">
      <w:pPr>
        <w:pStyle w:val="Caption"/>
        <w:jc w:val="center"/>
      </w:pPr>
      <w:bookmarkStart w:id="4" w:name="_Ref19751464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80C5D">
        <w:rPr>
          <w:noProof/>
        </w:rPr>
        <w:t>2</w:t>
      </w:r>
      <w:r>
        <w:fldChar w:fldCharType="end"/>
      </w:r>
      <w:bookmarkEnd w:id="4"/>
      <w:r>
        <w:t xml:space="preserve"> - Scatter plot</w:t>
      </w:r>
    </w:p>
    <w:p w14:paraId="3FE9BE6D" w14:textId="643790D2" w:rsidR="00E2245A" w:rsidRDefault="00E2245A" w:rsidP="00E2245A">
      <w:pPr>
        <w:keepNext/>
      </w:pPr>
    </w:p>
    <w:p w14:paraId="746E6155" w14:textId="4D49C0FC" w:rsidR="00245D0D" w:rsidRDefault="00245D0D" w:rsidP="00202770">
      <w:pPr>
        <w:keepNext/>
        <w:jc w:val="center"/>
      </w:pPr>
      <w:r>
        <w:rPr>
          <w:noProof/>
        </w:rPr>
        <w:drawing>
          <wp:inline distT="0" distB="0" distL="0" distR="0" wp14:anchorId="4BAEB30C" wp14:editId="25149832">
            <wp:extent cx="3510838" cy="3228230"/>
            <wp:effectExtent l="0" t="0" r="0" b="0"/>
            <wp:docPr id="1665708966" name="Picture 10" descr="A graph of a graph of pow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08966" name="Picture 10" descr="A graph of a graph of pow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881" cy="324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19C12" w14:textId="7CC3FCEE" w:rsidR="00E2245A" w:rsidRDefault="00E2245A" w:rsidP="0020277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80C5D">
        <w:rPr>
          <w:noProof/>
        </w:rPr>
        <w:t>3</w:t>
      </w:r>
      <w:r>
        <w:fldChar w:fldCharType="end"/>
      </w:r>
      <w:r>
        <w:t xml:space="preserve"> - </w:t>
      </w:r>
      <w:r w:rsidRPr="00586E59">
        <w:t>Scatter plot</w:t>
      </w:r>
    </w:p>
    <w:p w14:paraId="225DDA1B" w14:textId="258A022D" w:rsidR="008E7B50" w:rsidRDefault="008E7B50" w:rsidP="0020277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38D80E6" wp14:editId="12A1FA8C">
            <wp:extent cx="3673503" cy="3377802"/>
            <wp:effectExtent l="0" t="0" r="3175" b="0"/>
            <wp:docPr id="1754781216" name="Picture 11" descr="A graph of a power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81216" name="Picture 11" descr="A graph of a power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498" cy="33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62161" w14:textId="73DF0CAA" w:rsidR="004D431C" w:rsidRDefault="00E2245A" w:rsidP="0020277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80C5D">
        <w:rPr>
          <w:noProof/>
        </w:rPr>
        <w:t>4</w:t>
      </w:r>
      <w:r>
        <w:fldChar w:fldCharType="end"/>
      </w:r>
      <w:r>
        <w:t xml:space="preserve"> - </w:t>
      </w:r>
      <w:r w:rsidRPr="00942BCA">
        <w:t>Scatter plot</w:t>
      </w:r>
    </w:p>
    <w:p w14:paraId="1DE2AE0D" w14:textId="0CF86BA6" w:rsidR="00E2245A" w:rsidRDefault="00E2245A" w:rsidP="00E2245A">
      <w:pPr>
        <w:keepNext/>
      </w:pPr>
    </w:p>
    <w:p w14:paraId="6A873F90" w14:textId="761B6CE5" w:rsidR="00AE6456" w:rsidRDefault="00AE6456" w:rsidP="00202770">
      <w:pPr>
        <w:keepNext/>
        <w:jc w:val="center"/>
      </w:pPr>
      <w:r>
        <w:rPr>
          <w:noProof/>
        </w:rPr>
        <w:drawing>
          <wp:inline distT="0" distB="0" distL="0" distR="0" wp14:anchorId="34EF1684" wp14:editId="4FAC6A1C">
            <wp:extent cx="3721210" cy="3421669"/>
            <wp:effectExtent l="0" t="0" r="0" b="7620"/>
            <wp:docPr id="1044260840" name="Picture 12" descr="A graph of a power supply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60840" name="Picture 12" descr="A graph of a power supply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36" cy="342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1EA42" w14:textId="7DAFDD31" w:rsidR="005C3B9F" w:rsidRDefault="00E2245A" w:rsidP="0020277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80C5D">
        <w:rPr>
          <w:noProof/>
        </w:rPr>
        <w:t>5</w:t>
      </w:r>
      <w:r>
        <w:fldChar w:fldCharType="end"/>
      </w:r>
      <w:r>
        <w:t xml:space="preserve"> - </w:t>
      </w:r>
      <w:r w:rsidRPr="003E3AB4">
        <w:t>Scatter plot</w:t>
      </w:r>
    </w:p>
    <w:p w14:paraId="7BAD1BE5" w14:textId="682BBAB7" w:rsidR="00323C8A" w:rsidRDefault="00323C8A" w:rsidP="0020277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6C2F5E2" wp14:editId="26C770DB">
            <wp:extent cx="3498574" cy="3216955"/>
            <wp:effectExtent l="0" t="0" r="6985" b="2540"/>
            <wp:docPr id="713902417" name="Picture 13" descr="A graph of a graph of pow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02417" name="Picture 13" descr="A graph of a graph of pow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890" cy="323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1A074" w14:textId="2A94C2BE" w:rsidR="000C142E" w:rsidRDefault="005C3B9F" w:rsidP="00202770">
      <w:pPr>
        <w:pStyle w:val="Caption"/>
        <w:jc w:val="center"/>
      </w:pPr>
      <w:bookmarkStart w:id="5" w:name="_Ref19751462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80C5D">
        <w:rPr>
          <w:noProof/>
        </w:rPr>
        <w:t>6</w:t>
      </w:r>
      <w:r>
        <w:fldChar w:fldCharType="end"/>
      </w:r>
      <w:bookmarkEnd w:id="5"/>
      <w:r>
        <w:t xml:space="preserve"> - </w:t>
      </w:r>
      <w:r w:rsidRPr="009908F4">
        <w:t>Scatter plot</w:t>
      </w:r>
    </w:p>
    <w:p w14:paraId="7072B618" w14:textId="577D3ABD" w:rsidR="00D80C5D" w:rsidRDefault="00315CBC" w:rsidP="00335C69">
      <w:r w:rsidRPr="00315CBC">
        <w:t>Moreover,</w:t>
      </w:r>
      <w:r w:rsidR="00C767BC">
        <w:t xml:space="preserve"> </w:t>
      </w:r>
      <w:r w:rsidR="00C767BC">
        <w:fldChar w:fldCharType="begin"/>
      </w:r>
      <w:r w:rsidR="00C767BC">
        <w:instrText xml:space="preserve"> REF _Ref197514826 \h </w:instrText>
      </w:r>
      <w:r w:rsidR="00C767BC">
        <w:fldChar w:fldCharType="separate"/>
      </w:r>
      <w:r w:rsidR="00C767BC">
        <w:t xml:space="preserve">Figure </w:t>
      </w:r>
      <w:r w:rsidR="00C767BC">
        <w:rPr>
          <w:noProof/>
        </w:rPr>
        <w:t>7</w:t>
      </w:r>
      <w:r w:rsidR="00C767BC">
        <w:fldChar w:fldCharType="end"/>
      </w:r>
      <w:r w:rsidRPr="00315CBC">
        <w:t xml:space="preserve"> </w:t>
      </w:r>
      <w:r w:rsidR="00335C69" w:rsidRPr="00335C69">
        <w:t>presents boxplots of the RMSE dispersion for all models. Boxplots are particularly valuable for comparing the dispersion of model errors, providing a robust visual summary of model stability and consistency.</w:t>
      </w:r>
    </w:p>
    <w:p w14:paraId="577AD756" w14:textId="268D72D6" w:rsidR="00E143F0" w:rsidRDefault="00E143F0" w:rsidP="00D80C5D">
      <w:pPr>
        <w:keepNext/>
      </w:pPr>
      <w:r>
        <w:rPr>
          <w:noProof/>
        </w:rPr>
        <w:drawing>
          <wp:inline distT="0" distB="0" distL="0" distR="0" wp14:anchorId="7D76035E" wp14:editId="089A6BB8">
            <wp:extent cx="5400040" cy="3317240"/>
            <wp:effectExtent l="0" t="0" r="0" b="0"/>
            <wp:docPr id="2049560221" name="Picture 14" descr="A graph of blue square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60221" name="Picture 14" descr="A graph of blue squares an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DB958" w14:textId="6CD042A2" w:rsidR="00671332" w:rsidRDefault="00D80C5D" w:rsidP="00D80C5D">
      <w:pPr>
        <w:pStyle w:val="Caption"/>
      </w:pPr>
      <w:bookmarkStart w:id="6" w:name="_Ref19751482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6"/>
      <w:r>
        <w:t xml:space="preserve"> - </w:t>
      </w:r>
      <w:r w:rsidRPr="00841200">
        <w:t>Boxplot of RMSE comparison</w:t>
      </w:r>
    </w:p>
    <w:p w14:paraId="39D069DC" w14:textId="26C737B9" w:rsidR="00952626" w:rsidRPr="00952626" w:rsidRDefault="00952626" w:rsidP="00952626">
      <w:r w:rsidRPr="00952626">
        <w:t xml:space="preserve">In conclusion, the </w:t>
      </w:r>
      <w:proofErr w:type="spellStart"/>
      <w:r w:rsidRPr="00952626">
        <w:t>XGBoost</w:t>
      </w:r>
      <w:proofErr w:type="spellEnd"/>
      <w:r w:rsidRPr="00952626">
        <w:t xml:space="preserve"> model emerged as the most effective solution, achieving the best performance across all error metrics while maintaining low computational cost during both training and inference. These results underscore </w:t>
      </w:r>
      <w:r w:rsidRPr="00952626">
        <w:lastRenderedPageBreak/>
        <w:t xml:space="preserve">the suitability of </w:t>
      </w:r>
      <w:proofErr w:type="spellStart"/>
      <w:r w:rsidRPr="00952626">
        <w:t>XGBoost</w:t>
      </w:r>
      <w:proofErr w:type="spellEnd"/>
      <w:r w:rsidRPr="00952626">
        <w:t xml:space="preserve"> for high-performance predictive modeling in structured data scenarios.</w:t>
      </w:r>
    </w:p>
    <w:p w14:paraId="6A7FB750" w14:textId="77777777" w:rsidR="00671332" w:rsidRDefault="00671332" w:rsidP="003568EA"/>
    <w:p w14:paraId="5B9EA79D" w14:textId="77777777" w:rsidR="00973C15" w:rsidRPr="00973C15" w:rsidRDefault="00671332" w:rsidP="00973C15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973C15" w:rsidRPr="00973C15">
        <w:t>1. Chen, T., Guestrin, C.: XGBoost: A Scalable Tree Boosting System.  Proceedings of the 22nd ACM SIGKDD International Conference on Knowledge Discovery and Data Mining, pp. 785–794. Association for Computing Machinery, San Francisco, California, USA (2016)</w:t>
      </w:r>
    </w:p>
    <w:p w14:paraId="0B8223F7" w14:textId="77777777" w:rsidR="00973C15" w:rsidRPr="00973C15" w:rsidRDefault="00973C15" w:rsidP="00973C15">
      <w:pPr>
        <w:pStyle w:val="EndNoteBibliography"/>
        <w:spacing w:after="0"/>
        <w:ind w:left="720" w:hanging="720"/>
      </w:pPr>
      <w:r w:rsidRPr="00973C15">
        <w:t>2. Akiba, T., Sano, S., Yanase, T., Ohta, T., Koyama, M.: Optuna: A Next-generation Hyperparameter Optimization Framework.  Proceedings of the 25th ACM SIGKDD International Conference on Knowledge Discovery &amp; Data Mining, pp. 2623–2631. Association for Computing Machinery, Anchorage, AK, USA (2019)</w:t>
      </w:r>
    </w:p>
    <w:p w14:paraId="19B13DA4" w14:textId="77777777" w:rsidR="00973C15" w:rsidRPr="00973C15" w:rsidRDefault="00973C15" w:rsidP="00973C15">
      <w:pPr>
        <w:pStyle w:val="EndNoteBibliography"/>
        <w:spacing w:after="0"/>
        <w:ind w:left="720" w:hanging="720"/>
      </w:pPr>
      <w:r w:rsidRPr="00973C15">
        <w:t>3. Van Rossum, G., Drake, F.L.: Python reference manual. Centrum voor Wiskunde en Informatica Amsterdam (1995)</w:t>
      </w:r>
    </w:p>
    <w:p w14:paraId="47811DD3" w14:textId="77777777" w:rsidR="00973C15" w:rsidRPr="00973C15" w:rsidRDefault="00973C15" w:rsidP="00973C15">
      <w:pPr>
        <w:pStyle w:val="EndNoteBibliography"/>
        <w:ind w:left="720" w:hanging="720"/>
      </w:pPr>
      <w:r w:rsidRPr="00973C15">
        <w:t>4. Pedregosa, F., Varoquaux, G., Gramfort, A., Michel, V., Thirion, B., Grisel, O., Blondel, M., Prettenhofer, P., Weiss, R., Dubourg, V.: Scikit-learn: Machine learning in Python. the Journal of machine Learning research 12,</w:t>
      </w:r>
      <w:r w:rsidRPr="00973C15">
        <w:rPr>
          <w:b/>
        </w:rPr>
        <w:t xml:space="preserve"> </w:t>
      </w:r>
      <w:r w:rsidRPr="00973C15">
        <w:t>2825-2830 (2011)</w:t>
      </w:r>
    </w:p>
    <w:p w14:paraId="7A09715B" w14:textId="0B2FE56C" w:rsidR="000C142E" w:rsidRPr="003568EA" w:rsidRDefault="00671332" w:rsidP="003568EA">
      <w:r>
        <w:fldChar w:fldCharType="end"/>
      </w:r>
    </w:p>
    <w:sectPr w:rsidR="000C142E" w:rsidRPr="003568E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ecture Notes in Comp Sci DOCEIS_BP2&lt;/Style&gt;&lt;LeftDelim&gt;{&lt;/LeftDelim&gt;&lt;RightDelim&gt;}&lt;/RightDelim&gt;&lt;FontName&gt;Apto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eps52e0u5txpbestptpt5syvzd5w9sardas&quot;&gt;PTI_BP_R74&lt;record-ids&gt;&lt;item&gt;134&lt;/item&gt;&lt;item&gt;150&lt;/item&gt;&lt;item&gt;151&lt;/item&gt;&lt;item&gt;152&lt;/item&gt;&lt;/record-ids&gt;&lt;/item&gt;&lt;/Libraries&gt;"/>
  </w:docVars>
  <w:rsids>
    <w:rsidRoot w:val="00143DA3"/>
    <w:rsid w:val="00060119"/>
    <w:rsid w:val="00077473"/>
    <w:rsid w:val="000B5157"/>
    <w:rsid w:val="000B7314"/>
    <w:rsid w:val="000C142E"/>
    <w:rsid w:val="001217A8"/>
    <w:rsid w:val="00143DA3"/>
    <w:rsid w:val="001627F2"/>
    <w:rsid w:val="001652F9"/>
    <w:rsid w:val="001B6226"/>
    <w:rsid w:val="001F139E"/>
    <w:rsid w:val="00202770"/>
    <w:rsid w:val="00245D0D"/>
    <w:rsid w:val="00270D66"/>
    <w:rsid w:val="00297398"/>
    <w:rsid w:val="00315CBC"/>
    <w:rsid w:val="00323C8A"/>
    <w:rsid w:val="00335C69"/>
    <w:rsid w:val="003552C6"/>
    <w:rsid w:val="003568EA"/>
    <w:rsid w:val="0036797A"/>
    <w:rsid w:val="003C113F"/>
    <w:rsid w:val="003E4966"/>
    <w:rsid w:val="003F6549"/>
    <w:rsid w:val="00406BFC"/>
    <w:rsid w:val="004316F8"/>
    <w:rsid w:val="00456BDA"/>
    <w:rsid w:val="00482E6B"/>
    <w:rsid w:val="004D431C"/>
    <w:rsid w:val="004E6D9D"/>
    <w:rsid w:val="00505C09"/>
    <w:rsid w:val="00505F26"/>
    <w:rsid w:val="005655D9"/>
    <w:rsid w:val="00573F91"/>
    <w:rsid w:val="005874FF"/>
    <w:rsid w:val="005B131B"/>
    <w:rsid w:val="005C3B9F"/>
    <w:rsid w:val="005E7925"/>
    <w:rsid w:val="006129F8"/>
    <w:rsid w:val="00626400"/>
    <w:rsid w:val="006546FF"/>
    <w:rsid w:val="00671332"/>
    <w:rsid w:val="006B4E7C"/>
    <w:rsid w:val="006C7727"/>
    <w:rsid w:val="006F3565"/>
    <w:rsid w:val="006F718A"/>
    <w:rsid w:val="00750531"/>
    <w:rsid w:val="007A19BD"/>
    <w:rsid w:val="007B3AC0"/>
    <w:rsid w:val="007E5ED4"/>
    <w:rsid w:val="008047A4"/>
    <w:rsid w:val="00872ED0"/>
    <w:rsid w:val="008D3377"/>
    <w:rsid w:val="008E7B50"/>
    <w:rsid w:val="008F2E9C"/>
    <w:rsid w:val="008F4B08"/>
    <w:rsid w:val="009300DC"/>
    <w:rsid w:val="00952626"/>
    <w:rsid w:val="00973C15"/>
    <w:rsid w:val="009A64D7"/>
    <w:rsid w:val="009D532B"/>
    <w:rsid w:val="00A70448"/>
    <w:rsid w:val="00A934E4"/>
    <w:rsid w:val="00A93F0D"/>
    <w:rsid w:val="00A978D8"/>
    <w:rsid w:val="00AC3683"/>
    <w:rsid w:val="00AE6456"/>
    <w:rsid w:val="00B04C5E"/>
    <w:rsid w:val="00C067A1"/>
    <w:rsid w:val="00C767BC"/>
    <w:rsid w:val="00C85C03"/>
    <w:rsid w:val="00CB5D7B"/>
    <w:rsid w:val="00D17632"/>
    <w:rsid w:val="00D21282"/>
    <w:rsid w:val="00D22121"/>
    <w:rsid w:val="00D35CD4"/>
    <w:rsid w:val="00D37420"/>
    <w:rsid w:val="00D537D3"/>
    <w:rsid w:val="00D80C5D"/>
    <w:rsid w:val="00D82AC5"/>
    <w:rsid w:val="00DF0C1C"/>
    <w:rsid w:val="00E143F0"/>
    <w:rsid w:val="00E2245A"/>
    <w:rsid w:val="00E34005"/>
    <w:rsid w:val="00E73E17"/>
    <w:rsid w:val="00F03957"/>
    <w:rsid w:val="00F60FC6"/>
    <w:rsid w:val="00F84BCF"/>
    <w:rsid w:val="00FB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B71C2A"/>
  <w15:chartTrackingRefBased/>
  <w15:docId w15:val="{0527B48F-5605-4130-9F00-0972764F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D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D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D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D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DA3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F2E9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671332"/>
    <w:pPr>
      <w:spacing w:after="0"/>
      <w:jc w:val="center"/>
    </w:pPr>
    <w:rPr>
      <w:rFonts w:ascii="Aptos" w:hAnsi="Aptos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71332"/>
    <w:rPr>
      <w:rFonts w:ascii="Aptos" w:hAnsi="Aptos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671332"/>
    <w:pPr>
      <w:spacing w:line="240" w:lineRule="auto"/>
    </w:pPr>
    <w:rPr>
      <w:rFonts w:ascii="Aptos" w:hAnsi="Aptos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671332"/>
    <w:rPr>
      <w:rFonts w:ascii="Aptos" w:hAnsi="Aptos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FE267CCBCA8D49AC257A25587AB834" ma:contentTypeVersion="13" ma:contentTypeDescription="Create a new document." ma:contentTypeScope="" ma:versionID="35979c2538d25c98df2eb115a9b7f5d5">
  <xsd:schema xmlns:xsd="http://www.w3.org/2001/XMLSchema" xmlns:xs="http://www.w3.org/2001/XMLSchema" xmlns:p="http://schemas.microsoft.com/office/2006/metadata/properties" xmlns:ns2="c6a83680-4fc8-45b3-9b4a-f56bb9929333" xmlns:ns3="151a771e-d11f-4673-bcca-2744ccd25c44" targetNamespace="http://schemas.microsoft.com/office/2006/metadata/properties" ma:root="true" ma:fieldsID="be4e4e9652c529ac570a6c420aadb909" ns2:_="" ns3:_="">
    <xsd:import namespace="c6a83680-4fc8-45b3-9b4a-f56bb9929333"/>
    <xsd:import namespace="151a771e-d11f-4673-bcca-2744ccd25c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Interres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a83680-4fc8-45b3-9b4a-f56bb99293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Interrese" ma:index="12" nillable="true" ma:displayName="Interrese" ma:format="Dropdown" ma:internalName="Interrese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dea2aff-83e1-4cb3-b7a2-433f265e0d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a771e-d11f-4673-bcca-2744ccd25c4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cd5c6ca-5329-4145-a7ba-514eb745c3a6}" ma:internalName="TaxCatchAll" ma:showField="CatchAllData" ma:web="151a771e-d11f-4673-bcca-2744ccd25c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terrese xmlns="c6a83680-4fc8-45b3-9b4a-f56bb9929333" xsi:nil="true"/>
    <TaxCatchAll xmlns="151a771e-d11f-4673-bcca-2744ccd25c44" xsi:nil="true"/>
    <lcf76f155ced4ddcb4097134ff3c332f xmlns="c6a83680-4fc8-45b3-9b4a-f56bb9929333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ACF1B1-50EF-437B-91C0-0B9416E6F30D}"/>
</file>

<file path=customXml/itemProps2.xml><?xml version="1.0" encoding="utf-8"?>
<ds:datastoreItem xmlns:ds="http://schemas.openxmlformats.org/officeDocument/2006/customXml" ds:itemID="{B4ECBAF5-74EB-4076-8F8A-22B5276339EC}">
  <ds:schemaRefs>
    <ds:schemaRef ds:uri="http://schemas.microsoft.com/office/2006/metadata/properties"/>
    <ds:schemaRef ds:uri="http://schemas.microsoft.com/office/infopath/2007/PartnerControls"/>
    <ds:schemaRef ds:uri="c6a83680-4fc8-45b3-9b4a-f56bb9929333"/>
    <ds:schemaRef ds:uri="151a771e-d11f-4673-bcca-2744ccd25c44"/>
  </ds:schemaRefs>
</ds:datastoreItem>
</file>

<file path=customXml/itemProps3.xml><?xml version="1.0" encoding="utf-8"?>
<ds:datastoreItem xmlns:ds="http://schemas.openxmlformats.org/officeDocument/2006/customXml" ds:itemID="{30D932FE-787C-42E1-8000-CB58C617016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14C58E2-5B5B-49E2-ACD6-DEE456B330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1635</Words>
  <Characters>8835</Characters>
  <Application>Microsoft Office Word</Application>
  <DocSecurity>0</DocSecurity>
  <Lines>73</Lines>
  <Paragraphs>20</Paragraphs>
  <ScaleCrop>false</ScaleCrop>
  <Company/>
  <LinksUpToDate>false</LinksUpToDate>
  <CharactersWithSpaces>10450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Lobato Oliveira Palley</dc:creator>
  <cp:keywords/>
  <dc:description/>
  <cp:lastModifiedBy>Tomás Barosa dos Santos</cp:lastModifiedBy>
  <cp:revision>7</cp:revision>
  <dcterms:created xsi:type="dcterms:W3CDTF">2025-05-07T14:14:00Z</dcterms:created>
  <dcterms:modified xsi:type="dcterms:W3CDTF">2025-05-08T09:47:00Z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280d64e4-739f-4fdb-a93f-73d86e267109</vt:lpwstr>
  </property>
  <property fmtid="{D5CDD505-2E9C-101B-9397-08002B2CF9AE}" pid="3" name="ContentTypeId">
    <vt:lpwstr>0x01010077FE267CCBCA8D49AC257A25587AB834</vt:lpwstr>
  </property>
  <property fmtid="{D5CDD505-2E9C-101B-9397-08002B2CF9AE}" pid="4" name="MediaServiceImageTags">
    <vt:lpwstr/>
  </property>
</Properties>
</file>