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de Arquitectura y MVP: Agente Optimizador de Pagos con IA</w:t>
      </w:r>
    </w:p>
    <w:p>
      <w:r>
        <w:br/>
      </w:r>
    </w:p>
    <w:p>
      <w:pPr>
        <w:pStyle w:val="Heading1"/>
      </w:pPr>
      <w:r>
        <w:t>1. Visión y Propósito del Proyecto</w:t>
      </w:r>
    </w:p>
    <w:p>
      <w:r>
        <w:t>El objetivo de esta aplicación es resolver la carga cognitiva del consumidor argentino frente a la dispersión de precios, promociones bancarias hiper-fragmentadas, y los dilemas de cuotas vs. inflación. No es una billetera virtual (como MODO o Mercado Pago), sino una capa de inteligencia financiera que actúa como motor de decisión previo al pago.</w:t>
      </w:r>
    </w:p>
    <w:p>
      <w:r>
        <w:t>La plataforma consolida reglas de negocio complejas extraídas de diversas fuentes y recomienda, en milisegundos, el medio de pago óptimo para maximizar el ahorro y el rendimiento financiero.</w:t>
      </w:r>
    </w:p>
    <w:p>
      <w:pPr>
        <w:pStyle w:val="Heading1"/>
      </w:pPr>
      <w:r>
        <w:t>2. Alcance del Producto Mínimo Viable (MVP)</w:t>
      </w:r>
    </w:p>
    <w:p>
      <w:r>
        <w:t>El MVP se centrará en un flujo centralizado, rápido y sin fricciones:</w:t>
      </w:r>
    </w:p>
    <w:p>
      <w:pPr>
        <w:pStyle w:val="ListBullet"/>
      </w:pPr>
      <w:r>
        <w:t>Ingesta de Datos (Backoffice): Un módulo donde se cargan textos en crudo de promociones (TyC de bancos) y la IA extrae las entidades (Banco, Porcentaje, Tope, Días) para guardarlas en la base de datos.</w:t>
      </w:r>
    </w:p>
    <w:p>
      <w:pPr>
        <w:pStyle w:val="ListBullet"/>
      </w:pPr>
      <w:r>
        <w:t>Perfilamiento Financiero Básico: El usuario puede seleccionar qué tarjetas y billeteras posee en su perfil (sin vincular cuentas reales ni tokens bancarios por el momento, solo la declaración de posesión).</w:t>
      </w:r>
    </w:p>
    <w:p>
      <w:pPr>
        <w:pStyle w:val="ListBullet"/>
      </w:pPr>
      <w:r>
        <w:t>Calculadora de Checkout Inteligente: Pantalla principal donde el usuario ingresa el Monto Total, Comercio/Rubro. El sistema cruza esa información con sus tarjetas y las promociones vigentes de ese día.</w:t>
      </w:r>
    </w:p>
    <w:p>
      <w:pPr>
        <w:pStyle w:val="ListBullet"/>
      </w:pPr>
      <w:r>
        <w:t>Proyección de Cuotas vs Inflación: Si aplica, una función determinista compara el descuento directo vs el pago en cuotas fijas ajustado por una inflación proyectada paramétrica.</w:t>
      </w:r>
    </w:p>
    <w:p>
      <w:pPr>
        <w:pStyle w:val="Heading1"/>
      </w:pPr>
      <w:r>
        <w:t>3. Arquitectura Tecnológica</w:t>
      </w:r>
    </w:p>
    <w:p>
      <w:r>
        <w:t>Para asegurar escalabilidad, testeabilidad y mantenimiento a largo plazo, el sistema implementará los siguientes patrones y stack tecnológico:</w:t>
      </w:r>
    </w:p>
    <w:p>
      <w:pPr>
        <w:pStyle w:val="Heading2"/>
      </w:pPr>
      <w:r>
        <w:t>Backend: Clean Architecture y Patrones</w:t>
      </w:r>
    </w:p>
    <w:p>
      <w:r>
        <w:t>El sistema se divide estrictamente en capas utilizando Clean Architecture. Se implementará el patrón Service/Repository aislando el modelo de dominio de los detalles de infraestructura.</w:t>
      </w:r>
    </w:p>
    <w:p>
      <w:pPr>
        <w:pStyle w:val="ListBullet"/>
      </w:pPr>
      <w:r>
        <w:t>Data Transfer Objects (DTOs):</w:t>
      </w:r>
    </w:p>
    <w:p>
      <w:r>
        <w:t>Se requiere una estricta separación de responsabilidades en la API. Toda comunicación cliente-servidor se realiza a través de DTOs (ej. OptimizarCompraRequest, OptimizarCompraResponse), garantizando que las entidades de dominio y modelos de persistencia nunca sean expuestos directamente en los Controladores.</w:t>
      </w:r>
    </w:p>
    <w:p>
      <w:pPr>
        <w:pStyle w:val="ListBullet"/>
      </w:pPr>
      <w:r>
        <w:t>Bases de Datos y Migraciones:</w:t>
      </w:r>
    </w:p>
    <w:p>
      <w:r>
        <w:t>La persistencia se resolverá con PostgreSQL, garantizando la consistencia del modelo relacional (Usuarios, Billeteras, Promociones, Reglas). El versionado del esquema de la base de datos estará estrictamente gestionado mediante scripts de Flyway, asegurando despliegues reproducibles y trazabilidad de cambios.</w:t>
      </w:r>
    </w:p>
    <w:p>
      <w:pPr>
        <w:pStyle w:val="Heading2"/>
      </w:pPr>
      <w:r>
        <w:t>Frontend</w:t>
      </w:r>
    </w:p>
    <w:p>
      <w:r>
        <w:t>La interfaz de usuario estará construida con React utilizando Vite para un entorno de desarrollo ultra-rápido y builds optimizados. Se priorizará una UI minimalista, de respuesta instantánea y enfocada en "vibe coding" para la fluidez en dispositivos móviles, donde la velocidad de decisión en la caja del supermercado es crítica.</w:t>
      </w:r>
    </w:p>
    <w:p>
      <w:pPr>
        <w:pStyle w:val="Heading1"/>
      </w:pPr>
      <w:r>
        <w:t>4. Integración y Rol de la Inteligencia Artificial</w:t>
      </w:r>
    </w:p>
    <w:p>
      <w:r>
        <w:t>La IA se utilizará en una capa asincrónica de procesamiento (AI Gateway en la capa de Infraestructura). Su responsabilidad es estructurar el caos de la información comercial. Se conectará a un LLM (ej. Gemini) enviando prompts de extracción sobre textos legales de tarjetas. La IA no toma decisiones matemáticas de checkout (eso lo hace el Motor de Reglas en C#/Java), la IA solo estandariza los datos para popular la base de datos.</w:t>
      </w:r>
    </w:p>
    <w:p>
      <w:pPr>
        <w:pStyle w:val="Heading1"/>
      </w:pPr>
      <w:r>
        <w:t>5. Estructura de Entidades Principales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Entidad</w:t>
            </w:r>
          </w:p>
        </w:tc>
        <w:tc>
          <w:tcPr>
            <w:tcW w:type="dxa" w:w="2880"/>
          </w:tcPr>
          <w:p>
            <w:r>
              <w:rPr>
                <w:b/>
              </w:rPr>
              <w:t>Responsabilidad</w:t>
            </w:r>
          </w:p>
        </w:tc>
        <w:tc>
          <w:tcPr>
            <w:tcW w:type="dxa" w:w="2880"/>
          </w:tcPr>
          <w:p>
            <w:r>
              <w:rPr>
                <w:b/>
              </w:rPr>
              <w:t>Relaciones Clave</w:t>
            </w:r>
          </w:p>
        </w:tc>
      </w:tr>
      <w:tr>
        <w:tc>
          <w:tcPr>
            <w:tcW w:type="dxa" w:w="2880"/>
          </w:tcPr>
          <w:p>
            <w:r>
              <w:t>Usuario / TarjetaUsuario</w:t>
            </w:r>
          </w:p>
        </w:tc>
        <w:tc>
          <w:tcPr>
            <w:tcW w:type="dxa" w:w="2880"/>
          </w:tcPr>
          <w:p>
            <w:r>
              <w:t>Almacena las herramientas financieras declaradas.</w:t>
            </w:r>
          </w:p>
        </w:tc>
        <w:tc>
          <w:tcPr>
            <w:tcW w:type="dxa" w:w="2880"/>
          </w:tcPr>
          <w:p>
            <w:r>
              <w:t>1:N con Tarjetas/Billeteras.</w:t>
            </w:r>
          </w:p>
        </w:tc>
      </w:tr>
      <w:tr>
        <w:tc>
          <w:tcPr>
            <w:tcW w:type="dxa" w:w="2880"/>
          </w:tcPr>
          <w:p>
            <w:r>
              <w:t>Promocion</w:t>
            </w:r>
          </w:p>
        </w:tc>
        <w:tc>
          <w:tcPr>
            <w:tcW w:type="dxa" w:w="2880"/>
          </w:tcPr>
          <w:p>
            <w:r>
              <w:t>Cabecera de la entidad emisora (Banco) y vigencia.</w:t>
            </w:r>
          </w:p>
        </w:tc>
        <w:tc>
          <w:tcPr>
            <w:tcW w:type="dxa" w:w="2880"/>
          </w:tcPr>
          <w:p>
            <w:r>
              <w:t>1:N con ReglaBeneficio.</w:t>
            </w:r>
          </w:p>
        </w:tc>
      </w:tr>
      <w:tr>
        <w:tc>
          <w:tcPr>
            <w:tcW w:type="dxa" w:w="2880"/>
          </w:tcPr>
          <w:p>
            <w:r>
              <w:t>ReglaBeneficio</w:t>
            </w:r>
          </w:p>
        </w:tc>
        <w:tc>
          <w:tcPr>
            <w:tcW w:type="dxa" w:w="2880"/>
          </w:tcPr>
          <w:p>
            <w:r>
              <w:t>Detalle atómico: Días, Porcentaje, Tope, Rubro.</w:t>
            </w:r>
          </w:p>
        </w:tc>
        <w:tc>
          <w:tcPr>
            <w:tcW w:type="dxa" w:w="2880"/>
          </w:tcPr>
          <w:p>
            <w:r>
              <w:t>N:1 con Promoción, N:1 con Comercio.</w:t>
            </w:r>
          </w:p>
        </w:tc>
      </w:tr>
    </w:tbl>
    <w:p>
      <w:r>
        <w:br/>
        <w:t>Documento generado para inicialización de desarrollo MVP con Google Antigravity.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33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