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964055" cy="664845"/>
            <wp:effectExtent b="0" l="0" r="0" t="0"/>
            <wp:docPr descr="logo_cumpr" id="1" name="image1.jpg"/>
            <a:graphic>
              <a:graphicData uri="http://schemas.openxmlformats.org/drawingml/2006/picture">
                <pic:pic>
                  <pic:nvPicPr>
                    <pic:cNvPr descr="logo_cumpr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664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PROGRAMA DA DISCIPLINA</w:t>
            </w:r>
          </w:p>
        </w:tc>
      </w:tr>
    </w:tbl>
    <w:p w:rsidR="00000000" w:rsidDel="00000000" w:rsidP="00000000" w:rsidRDefault="00000000" w:rsidRPr="00000000" w14:paraId="00000004">
      <w:pPr>
        <w:tabs>
          <w:tab w:val="left" w:leader="none" w:pos="1701"/>
        </w:tabs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5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680"/>
        <w:gridCol w:w="3375"/>
        <w:gridCol w:w="1980"/>
        <w:gridCol w:w="450"/>
        <w:gridCol w:w="2370"/>
        <w:tblGridChange w:id="0">
          <w:tblGrid>
            <w:gridCol w:w="1680"/>
            <w:gridCol w:w="3375"/>
            <w:gridCol w:w="1980"/>
            <w:gridCol w:w="450"/>
            <w:gridCol w:w="2370"/>
          </w:tblGrid>
        </w:tblGridChange>
      </w:tblGrid>
      <w:tr>
        <w:trPr>
          <w:cantSplit w:val="0"/>
          <w:trHeight w:val="719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tabs>
                <w:tab w:val="left" w:leader="none" w:pos="1701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CURSO: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tabs>
                <w:tab w:val="left" w:leader="none" w:pos="1701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MBA EM CIÊNCIA DE DADOS APLICADOS À GESTÃO DE NEGÓCIOS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tabs>
                <w:tab w:val="left" w:leader="none" w:pos="1701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TURMA: 2023/1 </w:t>
            </w:r>
          </w:p>
        </w:tc>
      </w:tr>
      <w:tr>
        <w:trPr>
          <w:cantSplit w:val="0"/>
          <w:trHeight w:val="74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tabs>
                <w:tab w:val="left" w:leader="none" w:pos="1701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DISCIPLINA: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tabs>
                <w:tab w:val="left" w:leader="none" w:pos="1701"/>
              </w:tabs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Fundamentos para Programação e Análise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tabs>
                <w:tab w:val="left" w:leader="none" w:pos="1701"/>
              </w:tabs>
              <w:ind w:left="-256" w:firstLine="256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SEMESTRE: 1/2023</w:t>
            </w:r>
          </w:p>
          <w:p w:rsidR="00000000" w:rsidDel="00000000" w:rsidP="00000000" w:rsidRDefault="00000000" w:rsidRPr="00000000" w14:paraId="0000000E">
            <w:pPr>
              <w:tabs>
                <w:tab w:val="left" w:leader="none" w:pos="1701"/>
              </w:tabs>
              <w:ind w:left="-256" w:firstLine="256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1701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CÓDIGO: 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1701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MBACGN-2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tabs>
                <w:tab w:val="left" w:leader="none" w:pos="1701"/>
              </w:tabs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CARGA HORÁRIA: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1025"/>
              </w:tabs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15h</w:t>
            </w:r>
          </w:p>
        </w:tc>
      </w:tr>
      <w:tr>
        <w:trPr>
          <w:cantSplit w:val="0"/>
          <w:trHeight w:val="674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1701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HORÁRIO: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6">
            <w:pPr>
              <w:tabs>
                <w:tab w:val="left" w:leader="none" w:pos="1701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sexta-feira: 18:30 às 22:55h</w:t>
            </w:r>
          </w:p>
          <w:p w:rsidR="00000000" w:rsidDel="00000000" w:rsidP="00000000" w:rsidRDefault="00000000" w:rsidRPr="00000000" w14:paraId="00000017">
            <w:pPr>
              <w:tabs>
                <w:tab w:val="left" w:leader="none" w:pos="1701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Sábado: 08 às 12h e 14 às 18h</w:t>
            </w:r>
          </w:p>
          <w:p w:rsidR="00000000" w:rsidDel="00000000" w:rsidP="00000000" w:rsidRDefault="00000000" w:rsidRPr="00000000" w14:paraId="00000018">
            <w:pPr>
              <w:tabs>
                <w:tab w:val="left" w:leader="none" w:pos="1701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1701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DATAS: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D">
            <w:pPr>
              <w:tabs>
                <w:tab w:val="left" w:leader="none" w:pos="1701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19 e 20 de maio de 2023.</w:t>
            </w:r>
          </w:p>
        </w:tc>
      </w:tr>
    </w:tbl>
    <w:p w:rsidR="00000000" w:rsidDel="00000000" w:rsidP="00000000" w:rsidRDefault="00000000" w:rsidRPr="00000000" w14:paraId="00000021">
      <w:pPr>
        <w:tabs>
          <w:tab w:val="left" w:leader="none" w:pos="1701"/>
        </w:tabs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1276"/>
              </w:tabs>
              <w:ind w:left="1418" w:hanging="1418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PROFESSOR: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Tomás Ferranti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1276"/>
              </w:tabs>
              <w:ind w:left="1418" w:hanging="1418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E-MAIL: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u w:val="none"/>
                  <w:rtl w:val="0"/>
                </w:rPr>
                <w:t xml:space="preserve">tomas_ferranti_07@hotmail.com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1276"/>
              </w:tabs>
              <w:ind w:left="1418" w:hanging="1418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tabs>
          <w:tab w:val="left" w:leader="none" w:pos="1276"/>
        </w:tabs>
        <w:ind w:left="1418" w:hanging="141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55.0" w:type="dxa"/>
        <w:jc w:val="left"/>
        <w:tblInd w:w="-115.0" w:type="dxa"/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EMENTA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Algoritmos, lógica e linguagens de programação: visão geral. Análise de sistemas: análises estruturadas e orientada a objetos (principais abordagens e diagramas). Tópicos de engenharia de software: modelos de processo (ciclos de vida) e metodologias de desenvolvimento, modelos de qualidade. Análises descritivas (exploração de dados e organização de informações), diagnósticas (análise das informações), preditivas (avaliação de tendências) e prescritivas (definição de ações). 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55.0" w:type="dxa"/>
        <w:jc w:val="left"/>
        <w:tblInd w:w="-115.0" w:type="dxa"/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Introduzir os alunos aos conceitos fundamentais para programação e análise no contexto de negócio.</w:t>
            </w:r>
          </w:p>
        </w:tc>
      </w:tr>
    </w:tbl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5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120" w:before="12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CONTEÚDO PROGRAMÁTICO: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Algoritmos, lógica de programação, pseudocódigo, fluxogramas. Linguagens de programação de baixo e alto nível, Interpretada e compilada. Introdução a programação em Python.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Análise de requisitos, modelagem informacional de requisitos. Diagramas de fluxo de dados e diagramas de entidades-relacionamentos. Diagramas de casos de uso e diagramas de classes.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Modelos de processo cascata, prototipação, espiral e ágil. Metodologias de desenvolvimento Lean, Scrum e XP. Modelos de qualidade, fatores de qualidade, revisões e SQA.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5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4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before="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AVALIAÇÃO: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30% participação, 70% avaliação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22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222"/>
              <w:tblGridChange w:id="0">
                <w:tblGrid>
                  <w:gridCol w:w="222"/>
                </w:tblGrid>
              </w:tblGridChange>
            </w:tblGrid>
            <w:tr>
              <w:trPr>
                <w:cantSplit w:val="0"/>
                <w:trHeight w:val="747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4" w:sz="4" w:val="single"/>
        </w:pBdr>
        <w:spacing w:after="280" w:before="280" w:line="276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REGRA PARA A AVALIAÇÃO SUBSTITUTIVA DISCENTE: </w:t>
      </w:r>
    </w:p>
    <w:p w:rsidR="00000000" w:rsidDel="00000000" w:rsidP="00000000" w:rsidRDefault="00000000" w:rsidRPr="00000000" w14:paraId="0000003C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4" w:sz="4" w:val="single"/>
        </w:pBdr>
        <w:spacing w:after="280" w:before="280" w:line="276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 avaliação substitutiva é um processo pelo qual se aplica uma avaliação (prova) em data e horário definidos no Calendário Acadêmico. Será disponibilizada ao aluno que perder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uma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(01) avaliação regular da disciplina, para substituir a avaliação perdida. Em caso de perda de mais de uma avaliação na mesma disciplina, o aluno terá que indicar no requerimento da Avaliação Substitutiva qual avaliação se refere o pedido. Em não havendo indicação pelo aluno a qual avaliação o requerimento se refere, a escolha será realizada pelo coordenador do curso, não cabendo recurso para tal decisão. Às demais avaliações perdidas serão atribuídas a nota zero.</w:t>
      </w:r>
    </w:p>
    <w:p w:rsidR="00000000" w:rsidDel="00000000" w:rsidP="00000000" w:rsidRDefault="00000000" w:rsidRPr="00000000" w14:paraId="0000003D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4" w:sz="4" w:val="single"/>
        </w:pBdr>
        <w:spacing w:after="280" w:before="280" w:line="276" w:lineRule="auto"/>
        <w:jc w:val="both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Data da próxima prova substitutiva: 14/07/2023.</w:t>
      </w:r>
    </w:p>
    <w:tbl>
      <w:tblPr>
        <w:tblStyle w:val="Table9"/>
        <w:tblW w:w="985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BIBLIOGRAFIA BÁSICA: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 xml:space="preserve">Bibliografia (BVF: Biblioteca Virtual da Fucape)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▪</w:t>
              <w:tab/>
              <w:t xml:space="preserve">RIBEIRO, J. A. Introdução à Programação e Algoritmos. Rio de Janeiro: LTC, 2019 (BVF).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▪</w:t>
              <w:tab/>
              <w:t xml:space="preserve">DENNIS, A., WIXOM, B. H., &amp; ROTH, R. M.. Análise e Projeto de Sistemas. 5a ed. Rio de Janeiro: LTC, 2014 (BVF).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▪</w:t>
              <w:tab/>
              <w:t xml:space="preserve">SHARDA, R, DELEN, D e TURBAN, E. Business Intelligence e Análise de Dados para Gestão de Negócios. 4a ed. Porto Alegre: Bookman, 2019 (BVF).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▪</w:t>
              <w:tab/>
              <w:t xml:space="preserve">RAGSDALE, C. Modelagem de planilha e análise de decisão: uma introdução prática a business analytics. São Paulo: Cengage, 2015 (BVF).</w:t>
            </w:r>
          </w:p>
          <w:p w:rsidR="00000000" w:rsidDel="00000000" w:rsidP="00000000" w:rsidRDefault="00000000" w:rsidRPr="00000000" w14:paraId="00000044">
            <w:pPr>
              <w:spacing w:line="480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BIBLIOGRAFIA COMPLEMENTAR: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▪</w:t>
              <w:tab/>
              <w:t xml:space="preserve">PRESSMAN, R, G, e MAXIM, B. R. Engenharia de Software - Uma Abordagem Profissional. 8a ed. Porto Alegre: AMGH, 2016 (BVF).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▪</w:t>
              <w:tab/>
              <w:t xml:space="preserve">SBROCCO, J. H. T. C e MACEDO, P. C. Metodologias Ágeis - Engenharia de Software sob Medida. São Paulo: Érica, 2012 (BVF).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▪</w:t>
              <w:tab/>
              <w:t xml:space="preserve">SILVA, F. M., LEITE, M. C. D e OLIVEIRA, D. B. Paradigmas de Programação. Porto Alegre: SAGAH, 2019 (BVF).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▪</w:t>
              <w:tab/>
              <w:t xml:space="preserve">SEBESTA, R, W. Conceitos de Linguagens de Programação. 11a ed. Porto Alegre: Bookman, 2018 (BVF).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▪</w:t>
              <w:tab/>
              <w:t xml:space="preserve">MANZANO, J. A. N. G e OLIVEIRA, J. F. Algoritmos: lógica para desenvolvimento de computadores. 29a ed. São Paulo: Érica, 2018 (BVF).</w:t>
            </w:r>
          </w:p>
        </w:tc>
      </w:tr>
    </w:tbl>
    <w:p w:rsidR="00000000" w:rsidDel="00000000" w:rsidP="00000000" w:rsidRDefault="00000000" w:rsidRPr="00000000" w14:paraId="0000004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40" w:w="11907" w:orient="portrait"/>
      <w:pgMar w:bottom="1134" w:top="680" w:left="1134" w:right="1134" w:header="567" w:footer="46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Av. Fernando Ferrari, 1358, Goiabeiras, Vitória ES – CEP 29.075-010</w:t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Tel: (27) 4009-4444 Fax: (27) 4009-4422 | www.fucape.br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Av. Fernando Ferrari, 1358, Boa Vista, Vitória ES – CEP 29.075-505</w:t>
    </w:r>
  </w:p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Tel: (27) 4009-4444 </w:t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www.fucape.br</w:t>
    </w:r>
  </w:p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tomas_ferranti_07@hotmail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