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ndlncgf1wjy" w:id="0"/>
      <w:bookmarkEnd w:id="0"/>
      <w:r w:rsidDel="00000000" w:rsidR="00000000" w:rsidRPr="00000000">
        <w:rPr>
          <w:rtl w:val="0"/>
        </w:rPr>
        <w:t xml:space="preserve">Reporte de Avances de Tesis N°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Proyecto de Trabajo Final de Grado (Tesis):</w:t>
        <w:br w:type="textWrapping"/>
        <w:t xml:space="preserve">SuscripGuard: Plataforma Inteligente de Gestión de Suscripciones con Tarjetas Virtuales Automatizadas y Detección de Dark Patterns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Tesista: Tomas Franchino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Carrera: Ingeniería Informática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Profesor / Tutor Académico: Roman Zenobi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Fecha de Entrega: 13 de agosto de 2026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Período de Reporte: Entrega 1 (Inicio y Formulación Metodológica)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tj9cj7d0upau" w:id="1"/>
      <w:bookmarkEnd w:id="1"/>
      <w:r w:rsidDel="00000000" w:rsidR="00000000" w:rsidRPr="00000000">
        <w:rPr>
          <w:rtl w:val="0"/>
        </w:rPr>
        <w:t xml:space="preserve">1. Resumen de Avances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Durante la presente entrega, se ha completado la fase inicial de definición conceptual, estructuración del marco de investigación y revisión exhaustiva del estado del arte para la tesis de grado. El proyecto SuscripGuard aborda la problemática emergente del "caos de las suscripciones" ( fatiga de suscripción ) y la proliferación de patrones de diseño manipuladores ( patrones oscuros ) en servicios digitales recurrentes.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727e5ubr8rk" w:id="2"/>
      <w:bookmarkEnd w:id="2"/>
      <w:r w:rsidDel="00000000" w:rsidR="00000000" w:rsidRPr="00000000">
        <w:rPr>
          <w:rtl w:val="0"/>
        </w:rPr>
        <w:t xml:space="preserve">Matriz de Progreso Quincenal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1535"/>
        <w:gridCol w:w="4175"/>
        <w:tblGridChange w:id="0">
          <w:tblGrid>
            <w:gridCol w:w="3050"/>
            <w:gridCol w:w="1535"/>
            <w:gridCol w:w="4175"/>
          </w:tblGrid>
        </w:tblGridChange>
      </w:tblGrid>
      <w:tr>
        <w:trPr>
          <w:cantSplit w:val="0"/>
          <w:trHeight w:val="1145" w:hRule="atLeast"/>
          <w:tblHeader w:val="0"/>
        </w:trPr>
        <w:tc>
          <w:tcPr>
            <w:tcBorders>
              <w:top w:color="1f2937" w:space="0" w:sz="7" w:val="single"/>
              <w:left w:color="1f2937" w:space="0" w:sz="7" w:val="single"/>
              <w:bottom w:color="1f2937" w:space="0" w:sz="7" w:val="single"/>
              <w:right w:color="1f2937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Fase de Investigación</w:t>
            </w:r>
          </w:p>
        </w:tc>
        <w:tc>
          <w:tcPr>
            <w:tcBorders>
              <w:top w:color="1f2937" w:space="0" w:sz="7" w:val="single"/>
              <w:left w:color="1f2937" w:space="0" w:sz="7" w:val="single"/>
              <w:bottom w:color="1f2937" w:space="0" w:sz="7" w:val="single"/>
              <w:right w:color="1f2937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Nivel de Avance</w:t>
            </w:r>
          </w:p>
        </w:tc>
        <w:tc>
          <w:tcPr>
            <w:tcBorders>
              <w:top w:color="1f2937" w:space="0" w:sz="7" w:val="single"/>
              <w:left w:color="1f2937" w:space="0" w:sz="7" w:val="single"/>
              <w:bottom w:color="1f2937" w:space="0" w:sz="7" w:val="single"/>
              <w:right w:color="1f2937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Estado Actual</w:t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1f2937" w:space="0" w:sz="7" w:val="single"/>
              <w:left w:color="1f2937" w:space="0" w:sz="7" w:val="single"/>
              <w:bottom w:color="1f2937" w:space="0" w:sz="7" w:val="single"/>
              <w:right w:color="1f2937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 Definición y delimitación del problema</w:t>
            </w:r>
          </w:p>
        </w:tc>
        <w:tc>
          <w:tcPr>
            <w:tcBorders>
              <w:top w:color="1f2937" w:space="0" w:sz="7" w:val="single"/>
              <w:left w:color="1f2937" w:space="0" w:sz="7" w:val="single"/>
              <w:bottom w:color="1f2937" w:space="0" w:sz="7" w:val="single"/>
              <w:right w:color="1f2937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100%</w:t>
            </w:r>
          </w:p>
        </w:tc>
        <w:tc>
          <w:tcPr>
            <w:tcBorders>
              <w:top w:color="1f2937" w:space="0" w:sz="7" w:val="single"/>
              <w:left w:color="1f2937" w:space="0" w:sz="7" w:val="single"/>
              <w:bottom w:color="1f2937" w:space="0" w:sz="7" w:val="single"/>
              <w:right w:color="1f2937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Caracterización de impactos económicos, psicológicos y legales completada.</w:t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1f2937" w:space="0" w:sz="7" w:val="single"/>
              <w:left w:color="1f2937" w:space="0" w:sz="7" w:val="single"/>
              <w:bottom w:color="1f2937" w:space="0" w:sz="7" w:val="single"/>
              <w:right w:color="1f2937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 Formulación de Objetivos (General y Específicos)</w:t>
            </w:r>
          </w:p>
        </w:tc>
        <w:tc>
          <w:tcPr>
            <w:tcBorders>
              <w:top w:color="1f2937" w:space="0" w:sz="7" w:val="single"/>
              <w:left w:color="1f2937" w:space="0" w:sz="7" w:val="single"/>
              <w:bottom w:color="1f2937" w:space="0" w:sz="7" w:val="single"/>
              <w:right w:color="1f2937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95%</w:t>
            </w:r>
          </w:p>
        </w:tc>
        <w:tc>
          <w:tcPr>
            <w:tcBorders>
              <w:top w:color="1f2937" w:space="0" w:sz="7" w:val="single"/>
              <w:left w:color="1f2937" w:space="0" w:sz="7" w:val="single"/>
              <w:bottom w:color="1f2937" w:space="0" w:sz="7" w:val="single"/>
              <w:right w:color="1f2937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Objetivos redactados según estándar de ingeniería en verbos infinitivos.</w:t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1f2937" w:space="0" w:sz="7" w:val="single"/>
              <w:left w:color="1f2937" w:space="0" w:sz="7" w:val="single"/>
              <w:bottom w:color="1f2937" w:space="0" w:sz="7" w:val="single"/>
              <w:right w:color="1f2937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3. Estado del Arte y Antecedentes</w:t>
            </w:r>
          </w:p>
        </w:tc>
        <w:tc>
          <w:tcPr>
            <w:tcBorders>
              <w:top w:color="1f2937" w:space="0" w:sz="7" w:val="single"/>
              <w:left w:color="1f2937" w:space="0" w:sz="7" w:val="single"/>
              <w:bottom w:color="1f2937" w:space="0" w:sz="7" w:val="single"/>
              <w:right w:color="1f2937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90%</w:t>
            </w:r>
          </w:p>
        </w:tc>
        <w:tc>
          <w:tcPr>
            <w:tcBorders>
              <w:top w:color="1f2937" w:space="0" w:sz="7" w:val="single"/>
              <w:left w:color="1f2937" w:space="0" w:sz="7" w:val="single"/>
              <w:bottom w:color="1f2937" w:space="0" w:sz="7" w:val="single"/>
              <w:right w:color="1f2937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Identificación de taxonomías (ACM), marco legal (FTC/DSA) y análisis de casos empíricos.</w:t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1f2937" w:space="0" w:sz="7" w:val="single"/>
              <w:left w:color="1f2937" w:space="0" w:sz="7" w:val="single"/>
              <w:bottom w:color="1f2937" w:space="0" w:sz="7" w:val="single"/>
              <w:right w:color="1f2937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4. Arquitectura y Stack Tecnológico</w:t>
            </w:r>
          </w:p>
        </w:tc>
        <w:tc>
          <w:tcPr>
            <w:tcBorders>
              <w:top w:color="1f2937" w:space="0" w:sz="7" w:val="single"/>
              <w:left w:color="1f2937" w:space="0" w:sz="7" w:val="single"/>
              <w:bottom w:color="1f2937" w:space="0" w:sz="7" w:val="single"/>
              <w:right w:color="1f2937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85%</w:t>
            </w:r>
          </w:p>
        </w:tc>
        <w:tc>
          <w:tcPr>
            <w:tcBorders>
              <w:top w:color="1f2937" w:space="0" w:sz="7" w:val="single"/>
              <w:left w:color="1f2937" w:space="0" w:sz="7" w:val="single"/>
              <w:bottom w:color="1f2937" w:space="0" w:sz="7" w:val="single"/>
              <w:right w:color="1f2937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Definición de capas (Frontend, Backend, BaaS Sandbox, IA local vía Ollama).</w:t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1f2937" w:space="0" w:sz="7" w:val="single"/>
              <w:left w:color="1f2937" w:space="0" w:sz="7" w:val="single"/>
              <w:bottom w:color="1f2937" w:space="0" w:sz="7" w:val="single"/>
              <w:right w:color="1f2937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5. Metodología y Plan de Validación</w:t>
            </w:r>
          </w:p>
        </w:tc>
        <w:tc>
          <w:tcPr>
            <w:tcBorders>
              <w:top w:color="1f2937" w:space="0" w:sz="7" w:val="single"/>
              <w:left w:color="1f2937" w:space="0" w:sz="7" w:val="single"/>
              <w:bottom w:color="1f2937" w:space="0" w:sz="7" w:val="single"/>
              <w:right w:color="1f2937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75%</w:t>
            </w:r>
          </w:p>
        </w:tc>
        <w:tc>
          <w:tcPr>
            <w:tcBorders>
              <w:top w:color="1f2937" w:space="0" w:sz="7" w:val="single"/>
              <w:left w:color="1f2937" w:space="0" w:sz="7" w:val="single"/>
              <w:bottom w:color="1f2937" w:space="0" w:sz="7" w:val="single"/>
              <w:right w:color="1f2937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Métricas de rendimiento, usabilidad (SUS/NPS) y matriz de riesgos en definición.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f90rhvkgskqp" w:id="3"/>
      <w:bookmarkEnd w:id="3"/>
      <w:r w:rsidDel="00000000" w:rsidR="00000000" w:rsidRPr="00000000">
        <w:rPr>
          <w:rtl w:val="0"/>
        </w:rPr>
        <w:t xml:space="preserve">2. Definición del Problema y Justificación Académica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modelo de suscripción ha experimentado un crecimiento acelerado en la economía digital. Sin embargo, este modelo ha derivado en la explotación de asimetrías de información y fricciones intencionadas que afectan directamente al consumidor.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diy6lpviwkt9" w:id="4"/>
      <w:bookmarkEnd w:id="4"/>
      <w:r w:rsidDel="00000000" w:rsidR="00000000" w:rsidRPr="00000000">
        <w:rPr>
          <w:rtl w:val="0"/>
        </w:rPr>
        <w:t xml:space="preserve">2.1. Dimensiones del Impacto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Impacto Económico Directo e Indirecto: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Gasto hormiga forzado: Retención indebida mediante trabajos burocráticos en el flujo de cancelación que obligan a pagar ciclos adicionales.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Facturación por servicios no gozados: Cobro de períodos completos posteriores a la solicitud de rescisión.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Intereses por deudas infladas: Acumulación de recargos sobre saldos no reconocidos que asfixian la capacidad financiera del usuario.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Riesgo del perfil crediticio: Amenaza de reporte a centrales de riesgo por disputas de cancelación.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Impacto Psicológico y Emocional: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Frustración e indefensión: Asimetría extrema entre un canal de alta inmediata (un clic) y un canal de baja inaccesible o laberíntico ( Roach Motel ).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Fatiga por burocracia: Desgaste psicológico provocado por transferencias infinitas entre operadores o agentes virtuales.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Relevancia Regional (América Latina):</w:t>
        <w:br w:type="textWrapping"/>
        <w:t xml:space="preserve">Una diferencia de los mercados de EE.UU. y Europa, en Latinoamérica se observa un crecimiento acelerado del consumo de suscripciones acompañado de una mayor vulnerabilidad del consumidor y una menor disponibilidad de herramientas tecnológicas de protección financiera.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ku8k49krays7" w:id="5"/>
      <w:bookmarkEnd w:id="5"/>
      <w:r w:rsidDel="00000000" w:rsidR="00000000" w:rsidRPr="00000000">
        <w:rPr>
          <w:rtl w:val="0"/>
        </w:rPr>
        <w:t xml:space="preserve">3. Estado del Arte y Antecedentes de Investigación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xarv89hmc886" w:id="6"/>
      <w:bookmarkEnd w:id="6"/>
      <w:r w:rsidDel="00000000" w:rsidR="00000000" w:rsidRPr="00000000">
        <w:rPr>
          <w:rtl w:val="0"/>
        </w:rPr>
        <w:t xml:space="preserve">3.1. Taxonomía de Patrones Oscuros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Basado en investigaciones recientes publicadas en plataformas académicas (ACM Digital Library, IEEE Xplore) y normativas internacionales (FTC Click-to-Cancel rule , Digital Services Act de la Unión Europea), se clasifican las técnicas de retención abusiva en: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Roach Motel (Motel de Cucarachas): Facilidad para suscribirse, complejidad extrema para cancelar.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Sludge (Lodo): Fricción cognitiva o procedimental deliberada (ej. obligar a llamar por teléfono en horarios acotados).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Interferencia Visual / Confirmshaming: Diseños que manipulan emocionalmente al usuario o disimulan las opciones de baja.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Drip Pricing / Sneak into Basket: Ocultamiento de costos de permanencia o cobros adicionales aplicados gradualmente.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hy2fiyf0t7gd" w:id="7"/>
      <w:bookmarkEnd w:id="7"/>
      <w:r w:rsidDel="00000000" w:rsidR="00000000" w:rsidRPr="00000000">
        <w:rPr>
          <w:rtl w:val="0"/>
        </w:rPr>
        <w:t xml:space="preserve">3.2. Casos de Estudio Empíricos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Caso DAZN (Streaming - Europa):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Práctica: Laberintos de navegación, ofertas emergentes que ocultan el botón de baja, redirección obligatoria a chatbots sin opción de cancelación directa y atención por operadores comerciales de retención.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Incumplimiento Normativo: Vulneración de la Ley de Servicios Digitales (Art. 25.2) y directivas de consumo que exigen simetría entre el alta y la baja.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Caso Telecentro y DirecTV (Telecomunicaciones - Argentina):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Práctica: Sanción por 167 millones de pesos por obstaculización sistemática de bajas, inoperatividad del "botón de baja" obligatorio y la exigencia abusiva de "saldo en cero" como condición previa irreductible para cancelar el servicio.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Aporte a la Tesis: Demuestra la insuficiencia de la fiscalización estatal ex-post y la necesidad de una solución tecnológica de autodefensa proactiva.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iexikkgnsvlf" w:id="8"/>
      <w:bookmarkEnd w:id="8"/>
      <w:r w:rsidDel="00000000" w:rsidR="00000000" w:rsidRPr="00000000">
        <w:rPr>
          <w:rtl w:val="0"/>
        </w:rPr>
        <w:t xml:space="preserve">3.3. Brecha del Estado del Arte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Actualmente existen gestores de suscripciones (ej. Rocket Money , Trim ) que dependen del acceso completo a cuentas bancarias (alta intrusividad en privacidad) y herramientas de tarjetas virtuales (ej. Privacy.com , Revolut ) orientadas principalmente al mercado estadounidense o corporativo.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Brecha identificada: Ninguna solución integra de manera unificada: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Generación de tarjetas virtuales temporales con reglas de vencimiento/autodestrucción automática.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Detección automática de suscripciones mediante IA de ejecución local (respeto por la privacidad del correo).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Módulo de análisis y concientización sobre patrones oscuros 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     ESTADO DEL ARTE ACTUAL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+-----------------------+     +-----------------------+     +-----------------------+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 Rocket Money / Trim  |     | Privacy.com / Revolut |     |    SuscripGuard      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 (Gestores bancarios) |     |  (Tarjetas Virtuales) |     | (Propuesta de Tesis) 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+-----------------------+     +-----------------------+     +-----------------------+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- Alta intrusividad   |     | - Sin IA de emails    |     | + Tarjetas temporales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- Sin tarjetas auto   |     | - Enfoque EE.UU./B2B  |     | + IA Local (Ollama) 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- Sin análisis Dark UX|     | - Sin análisis Dark UX|     | + Detección Dark UX  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+-----------------------+     +-----------------------+     +-----------------------+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i785upi257xl" w:id="9"/>
      <w:bookmarkEnd w:id="9"/>
      <w:r w:rsidDel="00000000" w:rsidR="00000000" w:rsidRPr="00000000">
        <w:rPr>
          <w:rtl w:val="0"/>
        </w:rPr>
        <w:t xml:space="preserve">4. Matriz de Objetivos del Proyecto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nb1s5amh68dm" w:id="10"/>
      <w:bookmarkEnd w:id="10"/>
      <w:r w:rsidDel="00000000" w:rsidR="00000000" w:rsidRPr="00000000">
        <w:rPr>
          <w:rtl w:val="0"/>
        </w:rPr>
        <w:t xml:space="preserve">4.1. Objetivo General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Diseñar, implementar y evaluar una plataforma web integrada que permita a los usuarios gestionar sus suscripciones de forma segura, automática y con control total sobre sus pagos recurrentes mediante tarjetas virtuales descartables y clasificación inteligente con IA.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qzqkqvffrcbz" w:id="11"/>
      <w:bookmarkEnd w:id="11"/>
      <w:r w:rsidDel="00000000" w:rsidR="00000000" w:rsidRPr="00000000">
        <w:rPr>
          <w:rtl w:val="0"/>
        </w:rPr>
        <w:t xml:space="preserve">4.2. Objetivos Específicos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Investigar y analizar las arquitecturas de emisión de tarjetas ( Banking-as-a-Service ), las normativas de seguridad financiera (tokenización PCI-DSS) y las taxonomías de patrones oscuros 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Diseñar la arquitectura del sistema basado en microservicios/módulos asíncronos para el procesamiento de pagos simulados, el motor de reglas de vencimiento y el análisis de correos.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Desarrollar un módulo de emisión y gestión de tarjetas virtuales que ejecute reglas de caducidad automática (autodestrucción por fecha o límite de transacciones).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Implementar un motor de IA local (LLM) para la detección y clasificación automática de suscripciones y facturas a partir del análisis de correos electrónicos (Gmail API / IMAP).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Construir un analizador de patrones oscuros que identifique y catalogue flujos engañosos en las principales plataformas de servicios.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Validar la solución mediante pruebas de usabilidad (Cuestionario SUS/NPS), pruebas de rendimiento técnico y evaluación de seguridad OWASP.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rxv9bvx0vy8q" w:id="12"/>
      <w:bookmarkEnd w:id="12"/>
      <w:r w:rsidDel="00000000" w:rsidR="00000000" w:rsidRPr="00000000">
        <w:rPr>
          <w:rtl w:val="0"/>
        </w:rPr>
        <w:t xml:space="preserve">5. Arquitectura del Sistema y Stack Tecnológico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Para garantizar la viabilidad técnica como Trabajo Final de Grado en Ingeniería Informática, se ha definido una arquitectura moderna, escalable y modular: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                                 CAPA DE PRESENTACIÓN                            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             Next.js 15 (App Router) + TypeScript + TailwindCSS + shadcn/ui       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                 | REST / WebSockets / JWT Auth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                v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                                CAPA DE NEGOCIO (API)                            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                       Python (FastAPI) / Node.js (NestJS)                       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|                                 |                                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v                                 v                                 v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+-----------------------+   +-----------------------+   +-----------------------+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 MOTOR DE REGLAS &amp; IA |   |   INTEGRACIÓN BaaS    |   | BASE DE DATOS Y CACHÉ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- Ollama (Llama 3.1)  |   | - Stripe Issuing API  |   | - PostgreSQL (Core)  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- Celery / Temporal   |   |   (Modo Sandbox)      |   | - Redis (Colas/Caché)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- Gmail API / IMAP    |   | - Tokenización PCI    |   |                      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+-----------------------+   +-----------------------+   +-----------------------+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3nc76e1ttiux" w:id="13"/>
      <w:bookmarkEnd w:id="13"/>
      <w:r w:rsidDel="00000000" w:rsidR="00000000" w:rsidRPr="00000000">
        <w:rPr>
          <w:rtl w:val="0"/>
        </w:rPr>
        <w:t xml:space="preserve">Justificación de Elecciones Tecnológicas: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Entorno Sandbox BaaS (Stripe Issuing / Lithic API): Permite simular el ciclo de vida completo de tarjetas bancarias (emisión, autorización, rechazo por vencimiento y cobro de webhooks) sin requerir licencias bancarias ni comprometer capital real.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IA Local (Ollama + Llama 3.1 8B / Phi-3): Garantiza un enfoque Privacy-First , permitiendo procesar información sensible de correos electrónicos en la infraestructura del usuario o en un entorno controlado sin enviar datos a terceros.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95pwpk5zp6ia" w:id="14"/>
      <w:bookmarkEnd w:id="14"/>
      <w:r w:rsidDel="00000000" w:rsidR="00000000" w:rsidRPr="00000000">
        <w:rPr>
          <w:rtl w:val="0"/>
        </w:rPr>
        <w:t xml:space="preserve">6. Alineación con la Estructura del Trabajo Final (Memoria)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 continuación se presenta el mapeo de los avances actuales con respecto al índice general aprobado para la tesis de grado: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[X] Capítulo 1: Introducción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[X] 1.1 Antecedentes de la Investigación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[X] 1.2 Planteamiento del Problema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[X] 1.3 Justificación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[X] 1.4 Objetivos (General y Específicos)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 ] Capítulo 2: Marco Teórico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[X] 2.1 Bases Teóricas (BaaS, Dark Patterns, LLMs)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[~] 2.2 Estado del Arte (En proceso de redacción formal)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[ ] 2.3 Definición de Conceptos Clave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 ] Capítulo 3: Marco Metodológico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[X] 3.1 Enfoque y Tipo de Investigación (Ingeniería de Software / Aplicada)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[X] 3.2 Tecnologías y Herramientas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[ ] 3.3 Diseño de la Solución / Arquitectura de Sistema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[ ] 3.4 Fases de Implementación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 ] Capítulo 4: Desarrollo e Implementación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[ ] 4.1 Requerimientos del Sistema (Funcionales y No Funcionales)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[ ] 4.2 Diseño Detallado (Diagramas UML, Modelo ER)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[ ] 4.3 Implementación del Prototipo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 ] Capítulo 5: Análisis de Resultados y Validación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[ ] 5.1 Pruebas de Funcionamiento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[ ] 5.2 Evaluación de Rendimiento y Métricas (Latencia, Precisión IA)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[ ] 5.3 Análisis de Usabilidad (SUS / NPS)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[ ] Capítulo 6: Conclusiones y Recomendaciones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o94yd4f5o1of" w:id="15"/>
      <w:bookmarkEnd w:id="15"/>
      <w:r w:rsidDel="00000000" w:rsidR="00000000" w:rsidRPr="00000000">
        <w:rPr>
          <w:rtl w:val="0"/>
        </w:rPr>
        <w:t xml:space="preserve">7. Hoja de Ruta y Plan de Trabajo para la Próxima Entrega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hjsu449mh1xu" w:id="16"/>
      <w:bookmarkEnd w:id="16"/>
      <w:r w:rsidDel="00000000" w:rsidR="00000000" w:rsidRPr="00000000">
        <w:rPr>
          <w:rtl w:val="0"/>
        </w:rPr>
        <w:t xml:space="preserve">Cronograma de Trabajo Proyectado (Próximas 2 Semanas)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Semana 1: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Redacción formal del Capítulo 2.1 (Bases Teóricas) y 2.2 (Estado del Arte) en la memoria principal.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Definición de la Especificación de Requisitos del Sistema (IEEE 830 / Historias de Usuario).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Semana 2: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Creación del repositorio base (Setup de Next.js 15, FastAPI, Docker Compose con PostgreSQL y Redis).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Configuración del entorno Sandbox de Stripe Issuing y diseño del esquema de la base de datos relacional.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1.732283464567" w:top="578.2677165354331" w:left="861.732283464567" w:right="861.732283464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" w:cs="Lora" w:eastAsia="Lora" w:hAnsi="Lora"/>
        <w:color w:val="2c3e50"/>
        <w:sz w:val="24"/>
        <w:szCs w:val="24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52f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980b9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4495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52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030712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