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2E74B5"/>
          <w:sz w:val="44"/>
        </w:rPr>
        <w:t>Pipeline Explicable para Deteccion y Clasificacion</w:t>
        <w:br/>
        <w:t>de Glitches en Datos LIGO O3</w:t>
      </w:r>
    </w:p>
    <w:p/>
    <w:p>
      <w:pPr>
        <w:jc w:val="center"/>
      </w:pPr>
      <w:r>
        <w:rPr>
          <w:rFonts w:ascii="Calibri" w:hAnsi="Calibri"/>
          <w:i/>
          <w:color w:val="404040"/>
          <w:sz w:val="28"/>
        </w:rPr>
        <w:t>Modulos M1 (Autoencoder Convolucional) y M2 (ANFIS Jerarquico)</w:t>
      </w:r>
    </w:p>
    <w:p/>
    <w:p/>
    <w:p>
      <w:pPr>
        <w:jc w:val="center"/>
      </w:pPr>
      <w:r>
        <w:rPr>
          <w:rFonts w:ascii="Calibri" w:hAnsi="Calibri"/>
          <w:sz w:val="24"/>
        </w:rPr>
        <w:t>Tomas Jacobo Legal</w:t>
      </w:r>
    </w:p>
    <w:p>
      <w:pPr>
        <w:jc w:val="center"/>
      </w:pPr>
      <w:r>
        <w:rPr>
          <w:rFonts w:ascii="Calibri" w:hAnsi="Calibri"/>
          <w:sz w:val="24"/>
        </w:rPr>
        <w:t>Mayo 2026</w:t>
      </w:r>
    </w:p>
    <w:p>
      <w:r>
        <w:br w:type="page"/>
      </w:r>
    </w:p>
    <w:p>
      <w:pPr>
        <w:pStyle w:val="Heading1"/>
      </w:pPr>
      <w:r>
        <w:t>Tabla de Contenidos</w:t>
      </w:r>
    </w:p>
    <w:p>
      <w:r>
        <w:rPr>
          <w:i/>
          <w:color w:val="808080"/>
        </w:rPr>
        <w:t>TABLA DE CONTENIDOS - Actualizar campo en Word (clic derecho -&gt; Actualizar campo)</w:t>
      </w:r>
    </w:p>
    <w:p>
      <w:r>
        <w:br w:type="page"/>
      </w:r>
    </w:p>
    <w:p>
      <w:pPr>
        <w:pStyle w:val="Heading1"/>
      </w:pPr>
      <w:r>
        <w:t>1. Resumen Ejecutivo</w:t>
      </w:r>
    </w:p>
    <w:p>
      <w:r>
        <w:rPr>
          <w:rFonts w:ascii="Calibri" w:hAnsi="Calibri"/>
          <w:b w:val="0"/>
          <w:i w:val="0"/>
          <w:sz w:val="22"/>
        </w:rPr>
        <w:t>Pipeline de 2 modulos para deteccion y clasificacion automatizada de glitches (artefactos instrumentales) en datos del interferometro LIGO durante la campana de observacion O3. El Modulo M1 emplea un autoencoder convolucional entrenado exclusivamente sobre ruido nominal para detectar anomalias mediante error de reconstruccion, alcanzando un AUROC de 0.85. El Modulo M2 implementa un Sistema de Inferencia Difuso Adaptativo (ANFIS) de arquitectura Takagi-Sugeno en dos etapas jerarquicas para clasificar los glitches detectados en 4 macro-clases morfologicas, logrando un macro-F1 de 0.68 con 15 reglas IF-THEN completamente interpretables.</w:t>
      </w:r>
    </w:p>
    <w:p>
      <w:r>
        <w:rPr>
          <w:rFonts w:ascii="Calibri" w:hAnsi="Calibri"/>
          <w:b w:val="0"/>
          <w:i w:val="0"/>
          <w:sz w:val="22"/>
        </w:rPr>
        <w:t>El hallazgo tecnico mas relevante es que el ancho de banda espectral (bandwidth) y la relacion senal-ruido (SNR) constituyen los discriminadores principales entre clases de glitches, un resultado consistente con la fenomenologia conocida de los interferometros LIGO. La arquitectura ANFIS permite la extraccion de estas reglas en formato legible por expertos, transformando el clasificador en una herramienta de diagnostico instrumental.</w:t>
      </w:r>
    </w:p>
    <w:p>
      <w:r>
        <w:rPr>
          <w:rFonts w:ascii="Calibri" w:hAnsi="Calibri"/>
          <w:b w:val="0"/>
          <w:i w:val="0"/>
          <w:sz w:val="22"/>
        </w:rPr>
        <w:t>Datos: 6465 ventanas nominales (4 combinaciones detector x epoca) para entrenamiento de M1; 1637 ventanas con labels reales de Gravity Spy para entrenamiento y evaluacion de M2.</w:t>
      </w:r>
    </w:p>
    <w:p>
      <w:r>
        <w:br w:type="page"/>
      </w:r>
    </w:p>
    <w:p>
      <w:pPr>
        <w:pStyle w:val="Heading1"/>
      </w:pPr>
      <w:r>
        <w:t>2. Datos y Preprocesamiento</w:t>
      </w:r>
    </w:p>
    <w:p>
      <w:pPr>
        <w:pStyle w:val="Heading2"/>
      </w:pPr>
      <w:r>
        <w:t>2.1 Fuentes de datos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1701"/>
            <w:shd w:val="clear" w:color="auto" w:fill="2E74B5"/>
          </w:tcPr>
          <w:p>
            <w:pPr>
              <w:jc w:val="center"/>
            </w:pPr>
            <w:r>
              <w:rPr>
                <w:b/>
                <w:color w:val="FFFFFF"/>
              </w:rPr>
              <w:t>Dataset</w:t>
            </w:r>
          </w:p>
        </w:tc>
        <w:tc>
          <w:tcPr>
            <w:tcW w:type="dxa" w:w="1417"/>
            <w:shd w:val="clear" w:color="auto" w:fill="2E74B5"/>
          </w:tcPr>
          <w:p>
            <w:pPr>
              <w:jc w:val="center"/>
            </w:pPr>
            <w:r>
              <w:rPr>
                <w:b/>
                <w:color w:val="FFFFFF"/>
              </w:rPr>
              <w:t>Ubicacion</w:t>
            </w:r>
          </w:p>
        </w:tc>
        <w:tc>
          <w:tcPr>
            <w:tcW w:type="dxa" w:w="3402"/>
            <w:shd w:val="clear" w:color="auto" w:fill="2E74B5"/>
          </w:tcPr>
          <w:p>
            <w:pPr>
              <w:jc w:val="center"/>
            </w:pPr>
            <w:r>
              <w:rPr>
                <w:b/>
                <w:color w:val="FFFFFF"/>
              </w:rPr>
              <w:t>Contenido</w:t>
            </w:r>
          </w:p>
        </w:tc>
        <w:tc>
          <w:tcPr>
            <w:tcW w:type="dxa" w:w="2835"/>
            <w:shd w:val="clear" w:color="auto" w:fill="2E74B5"/>
          </w:tcPr>
          <w:p>
            <w:pPr>
              <w:jc w:val="center"/>
            </w:pPr>
            <w:r>
              <w:rPr>
                <w:b/>
                <w:color w:val="FFFFFF"/>
              </w:rPr>
              <w:t>Ventanas</w:t>
            </w:r>
          </w:p>
        </w:tc>
      </w:tr>
      <w:tr>
        <w:tc>
          <w:tcPr>
            <w:tcW w:type="dxa" w:w="1701"/>
          </w:tcPr>
          <w:p>
            <w:pPr>
              <w:jc w:val="left"/>
            </w:pPr>
            <w:r>
              <w:t>run02v2</w:t>
            </w:r>
          </w:p>
        </w:tc>
        <w:tc>
          <w:tcPr>
            <w:tcW w:type="dxa" w:w="1417"/>
          </w:tcPr>
          <w:p>
            <w:pPr>
              <w:jc w:val="left"/>
            </w:pPr>
            <w:r>
              <w:t>Local</w:t>
            </w:r>
          </w:p>
        </w:tc>
        <w:tc>
          <w:tcPr>
            <w:tcW w:type="dxa" w:w="3402"/>
          </w:tcPr>
          <w:p>
            <w:pPr>
              <w:jc w:val="left"/>
            </w:pPr>
            <w:r>
              <w:t>Ventanas nominales, raw Q-transforms, sampling GPS aleatorio</w:t>
            </w:r>
          </w:p>
        </w:tc>
        <w:tc>
          <w:tcPr>
            <w:tcW w:type="dxa" w:w="2835"/>
          </w:tcPr>
          <w:p>
            <w:pPr>
              <w:jc w:val="left"/>
            </w:pPr>
            <w:r>
              <w:t>H1/O3a: 465  H1/O3b: 2000  L1/O3a: 2000  L1/O3b: 2000  Total: 6465</w:t>
            </w:r>
          </w:p>
        </w:tc>
      </w:tr>
      <w:tr>
        <w:tc>
          <w:tcPr>
            <w:tcW w:type="dxa" w:w="1701"/>
          </w:tcPr>
          <w:p>
            <w:pPr>
              <w:jc w:val="left"/>
            </w:pPr>
            <w:r>
              <w:t>run03</w:t>
            </w:r>
          </w:p>
        </w:tc>
        <w:tc>
          <w:tcPr>
            <w:tcW w:type="dxa" w:w="1417"/>
          </w:tcPr>
          <w:p>
            <w:pPr>
              <w:jc w:val="left"/>
            </w:pPr>
            <w:r>
              <w:t>Local</w:t>
            </w:r>
          </w:p>
        </w:tc>
        <w:tc>
          <w:tcPr>
            <w:tcW w:type="dxa" w:w="3402"/>
          </w:tcPr>
          <w:p>
            <w:pPr>
              <w:jc w:val="left"/>
            </w:pPr>
            <w:r>
              <w:t>Ventanas con labels Gravity Spy, raw Q-transforms, centradas en peak_time</w:t>
            </w:r>
          </w:p>
        </w:tc>
        <w:tc>
          <w:tcPr>
            <w:tcW w:type="dxa" w:w="2835"/>
          </w:tcPr>
          <w:p>
            <w:pPr>
              <w:jc w:val="left"/>
            </w:pPr>
            <w:r>
              <w:t>500 (H1/O3a)</w:t>
            </w:r>
          </w:p>
        </w:tc>
      </w:tr>
      <w:tr>
        <w:tc>
          <w:tcPr>
            <w:tcW w:type="dxa" w:w="1701"/>
          </w:tcPr>
          <w:p>
            <w:pPr>
              <w:jc w:val="left"/>
            </w:pPr>
            <w:r>
              <w:t>run03_minority</w:t>
            </w:r>
          </w:p>
        </w:tc>
        <w:tc>
          <w:tcPr>
            <w:tcW w:type="dxa" w:w="1417"/>
          </w:tcPr>
          <w:p>
            <w:pPr>
              <w:jc w:val="left"/>
            </w:pPr>
            <w:r>
              <w:t>Local</w:t>
            </w:r>
          </w:p>
        </w:tc>
        <w:tc>
          <w:tcPr>
            <w:tcW w:type="dxa" w:w="3402"/>
          </w:tcPr>
          <w:p>
            <w:pPr>
              <w:jc w:val="left"/>
            </w:pPr>
            <w:r>
              <w:t>Ventanas de clases minoritarias, excluye LF_Burst y Scattered_Light</w:t>
            </w:r>
          </w:p>
        </w:tc>
        <w:tc>
          <w:tcPr>
            <w:tcW w:type="dxa" w:w="2835"/>
          </w:tcPr>
          <w:p>
            <w:pPr>
              <w:jc w:val="left"/>
            </w:pPr>
            <w:r>
              <w:t>H1/O3a: 300  H1/O3b: 300  L1/O3a: 300  L1/O3b: 300  Total: 1200</w:t>
            </w:r>
          </w:p>
        </w:tc>
      </w:tr>
      <w:tr>
        <w:tc>
          <w:tcPr>
            <w:tcW w:type="dxa" w:w="1701"/>
          </w:tcPr>
          <w:p>
            <w:pPr>
              <w:jc w:val="left"/>
            </w:pPr>
            <w:r>
              <w:t>Gravity Spy O3 CSVs</w:t>
            </w:r>
          </w:p>
        </w:tc>
        <w:tc>
          <w:tcPr>
            <w:tcW w:type="dxa" w:w="1417"/>
          </w:tcPr>
          <w:p>
            <w:pPr>
              <w:jc w:val="left"/>
            </w:pPr>
            <w:r>
              <w:t>Kaggle/Local</w:t>
            </w:r>
          </w:p>
        </w:tc>
        <w:tc>
          <w:tcPr>
            <w:tcW w:type="dxa" w:w="3402"/>
          </w:tcPr>
          <w:p>
            <w:pPr>
              <w:jc w:val="left"/>
            </w:pPr>
            <w:r>
              <w:t>Metadata de triggers: ml_label, snr, peak_frequency, bandwidth, duration</w:t>
            </w:r>
          </w:p>
        </w:tc>
        <w:tc>
          <w:tcPr>
            <w:tcW w:type="dxa" w:w="2835"/>
          </w:tcPr>
          <w:p>
            <w:pPr>
              <w:jc w:val="left"/>
            </w:pPr>
            <w:r>
              <w:t>~500K triggers</w:t>
            </w:r>
          </w:p>
        </w:tc>
      </w:tr>
    </w:tbl>
    <w:p/>
    <w:p>
      <w:pPr>
        <w:pStyle w:val="Heading2"/>
      </w:pPr>
      <w:r>
        <w:t>2.2 Pipeline de preprocesamiento</w:t>
      </w:r>
    </w:p>
    <w:p>
      <w:r>
        <w:rPr>
          <w:rFonts w:ascii="Calibri" w:hAnsi="Calibri"/>
          <w:b w:val="0"/>
          <w:i w:val="0"/>
          <w:sz w:val="22"/>
        </w:rPr>
        <w:t>Cada ventana se genera desde datos publicos de GWOSC mediante: (1) Descarga de archivos HDF5 de 4096s, (2) Lectura de strain con gwpy, (3) Q-transform con whiten=True, qrange=(4,64), frange=(20,1700), (4) Almacenamiento del espectrograma crudo sin normalizacion per-window. La normalizacion se aplica globalmente usando percentiles P1 y P99 calculados exclusivamente sobre el conjunto de entrenamiento.</w:t>
      </w:r>
    </w:p>
    <w:p>
      <w:r>
        <w:rPr>
          <w:rFonts w:ascii="Calibri" w:hAnsi="Calibri"/>
          <w:b w:val="0"/>
          <w:i w:val="0"/>
          <w:sz w:val="22"/>
        </w:rPr>
        <w:t>La decision de no aplicar normalizacion P99 por ventana (ADR-0015) fue el hallazgo metodologico mas importante del proyecto: la normalizacion per-window destruye las diferencias de magnitud inter-ventana que son esenciales para la deteccion de anomalias. Las versiones que usaron normalizacion inconsistente obtuvieron AUROC de 0.53 (v1) y 0.30 (v2, polaridad invertida), frente al 0.85 de la version con normalizacion consistente (v3).</w:t>
      </w:r>
    </w:p>
    <w:p>
      <w:r>
        <w:br w:type="page"/>
      </w:r>
    </w:p>
    <w:p>
      <w:pPr>
        <w:pStyle w:val="Heading1"/>
      </w:pPr>
      <w:r>
        <w:t>3. Modulo M1 -- Deteccion de Anomalias</w:t>
      </w:r>
    </w:p>
    <w:p>
      <w:pPr>
        <w:pStyle w:val="Heading2"/>
      </w:pPr>
      <w:r>
        <w:t>3.1 Arquitectura</w:t>
      </w:r>
    </w:p>
    <w:p>
      <w:r>
        <w:rPr>
          <w:rFonts w:ascii="Calibri" w:hAnsi="Calibri"/>
          <w:b w:val="0"/>
          <w:i w:val="0"/>
          <w:sz w:val="22"/>
        </w:rPr>
        <w:t>Autoencoder convolucional simetrico (GlitchAE). Encoder: 4 bloques Conv2d con stride=2 (1-&gt;32-&gt;64-&gt;128-&gt;256 canales), BatchNorm, ReLU. Cuello de botella: Flatten -&gt; FC(16384-&gt;512) -&gt; FC(512-&gt;32). Decoder: simetrico con ConvTranspose2d. Salida: Sigmoid. Total: 17.9M parametros. latent_dim=32.</w:t>
      </w:r>
    </w:p>
    <w:p>
      <w:pPr>
        <w:pStyle w:val="Heading2"/>
      </w:pPr>
      <w:r>
        <w:t>3.2 Entrenamiento</w:t>
      </w:r>
    </w:p>
    <w:p>
      <w:r>
        <w:rPr>
          <w:rFonts w:ascii="Calibri" w:hAnsi="Calibri"/>
          <w:b w:val="0"/>
          <w:i w:val="0"/>
          <w:sz w:val="22"/>
        </w:rPr>
        <w:t>Datos: 6465 ventanas de run02v2, filtradas a 6141 nominales (log_energy &lt;= P95). Split temporal P80: 4913 train, 1228 val. Normalizacion global: p1=0.0248, p99=7.3954. Optimizador: Adam lr=1e-3, weight_decay=1e-5. Loss: MSELoss. Early stopping en epoch 67 (patience=15). Best val_loss=0.04039.</w:t>
      </w:r>
    </w:p>
    <w:p>
      <w:pPr>
        <w:jc w:val="center"/>
      </w:pPr>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training_curve_v3.png"/>
                    <pic:cNvPicPr/>
                  </pic:nvPicPr>
                  <pic:blipFill>
                    <a:blip r:embed="rId10"/>
                    <a:stretch>
                      <a:fillRect/>
                    </a:stretch>
                  </pic:blipFill>
                  <pic:spPr>
                    <a:xfrm>
                      <a:off x="0" y="0"/>
                      <a:ext cx="5040000" cy="2520000"/>
                    </a:xfrm>
                    <a:prstGeom prst="rect"/>
                  </pic:spPr>
                </pic:pic>
              </a:graphicData>
            </a:graphic>
          </wp:inline>
        </w:drawing>
      </w:r>
    </w:p>
    <w:p>
      <w:pPr>
        <w:jc w:val="center"/>
      </w:pPr>
      <w:r>
        <w:rPr>
          <w:i/>
          <w:color w:val="606060"/>
          <w:sz w:val="18"/>
        </w:rPr>
        <w:t>Figura 1. Curva de entrenamiento M1 v4.</w:t>
      </w:r>
    </w:p>
    <w:p>
      <w:pPr>
        <w:pStyle w:val="Heading2"/>
      </w:pPr>
      <w:r>
        <w:t>3.3 Resultados</w:t>
      </w:r>
    </w:p>
    <w:p>
      <w:r>
        <w:rPr>
          <w:rFonts w:ascii="Calibri" w:hAnsi="Calibri"/>
          <w:b w:val="0"/>
          <w:i w:val="0"/>
          <w:sz w:val="22"/>
        </w:rPr>
        <w:t>AUROC=0.85 evaluado sobre 500 ventanas con labels reales de Gravity Spy (run03 H1/O3a).</w:t>
      </w:r>
    </w:p>
    <w:p>
      <w:pPr>
        <w:jc w:val="center"/>
      </w:pPr>
      <w:r>
        <w:drawing>
          <wp:inline xmlns:a="http://schemas.openxmlformats.org/drawingml/2006/main" xmlns:pic="http://schemas.openxmlformats.org/drawingml/2006/picture">
            <wp:extent cx="5040000" cy="4200000"/>
            <wp:docPr id="2" name="Picture 2"/>
            <wp:cNvGraphicFramePr>
              <a:graphicFrameLocks noChangeAspect="1"/>
            </wp:cNvGraphicFramePr>
            <a:graphic>
              <a:graphicData uri="http://schemas.openxmlformats.org/drawingml/2006/picture">
                <pic:pic>
                  <pic:nvPicPr>
                    <pic:cNvPr id="0" name="roc_curve_v3.png"/>
                    <pic:cNvPicPr/>
                  </pic:nvPicPr>
                  <pic:blipFill>
                    <a:blip r:embed="rId11"/>
                    <a:stretch>
                      <a:fillRect/>
                    </a:stretch>
                  </pic:blipFill>
                  <pic:spPr>
                    <a:xfrm>
                      <a:off x="0" y="0"/>
                      <a:ext cx="5040000" cy="4200000"/>
                    </a:xfrm>
                    <a:prstGeom prst="rect"/>
                  </pic:spPr>
                </pic:pic>
              </a:graphicData>
            </a:graphic>
          </wp:inline>
        </w:drawing>
      </w:r>
    </w:p>
    <w:p>
      <w:pPr>
        <w:jc w:val="center"/>
      </w:pPr>
      <w:r>
        <w:rPr>
          <w:i/>
          <w:color w:val="606060"/>
          <w:sz w:val="18"/>
        </w:rPr>
        <w:t>Figura 2. Curva ROC M1 (AUROC=0.85).</w:t>
      </w:r>
    </w:p>
    <w:p>
      <w:pPr>
        <w:jc w:val="center"/>
      </w:pPr>
      <w:r>
        <w:drawing>
          <wp:inline xmlns:a="http://schemas.openxmlformats.org/drawingml/2006/main" xmlns:pic="http://schemas.openxmlformats.org/drawingml/2006/picture">
            <wp:extent cx="5040000" cy="3111111"/>
            <wp:docPr id="3" name="Picture 3"/>
            <wp:cNvGraphicFramePr>
              <a:graphicFrameLocks noChangeAspect="1"/>
            </wp:cNvGraphicFramePr>
            <a:graphic>
              <a:graphicData uri="http://schemas.openxmlformats.org/drawingml/2006/picture">
                <pic:pic>
                  <pic:nvPicPr>
                    <pic:cNvPr id="0" name="score_by_class_v3.png"/>
                    <pic:cNvPicPr/>
                  </pic:nvPicPr>
                  <pic:blipFill>
                    <a:blip r:embed="rId12"/>
                    <a:stretch>
                      <a:fillRect/>
                    </a:stretch>
                  </pic:blipFill>
                  <pic:spPr>
                    <a:xfrm>
                      <a:off x="0" y="0"/>
                      <a:ext cx="5040000" cy="3111111"/>
                    </a:xfrm>
                    <a:prstGeom prst="rect"/>
                  </pic:spPr>
                </pic:pic>
              </a:graphicData>
            </a:graphic>
          </wp:inline>
        </w:drawing>
      </w:r>
    </w:p>
    <w:p>
      <w:pPr>
        <w:jc w:val="center"/>
      </w:pPr>
      <w:r>
        <w:rPr>
          <w:i/>
          <w:color w:val="606060"/>
          <w:sz w:val="18"/>
        </w:rPr>
        <w:t>Figura 3. AE-score por clase de glitch.</w:t>
      </w:r>
    </w:p>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551"/>
            <w:shd w:val="clear" w:color="auto" w:fill="2E74B5"/>
          </w:tcPr>
          <w:p>
            <w:pPr>
              <w:jc w:val="center"/>
            </w:pPr>
            <w:r>
              <w:rPr>
                <w:b/>
                <w:color w:val="FFFFFF"/>
              </w:rPr>
              <w:t>Clase</w:t>
            </w:r>
          </w:p>
        </w:tc>
        <w:tc>
          <w:tcPr>
            <w:tcW w:type="dxa" w:w="680"/>
            <w:shd w:val="clear" w:color="auto" w:fill="2E74B5"/>
          </w:tcPr>
          <w:p>
            <w:pPr>
              <w:jc w:val="center"/>
            </w:pPr>
            <w:r>
              <w:rPr>
                <w:b/>
                <w:color w:val="FFFFFF"/>
              </w:rPr>
              <w:t>N</w:t>
            </w:r>
          </w:p>
        </w:tc>
        <w:tc>
          <w:tcPr>
            <w:tcW w:type="dxa" w:w="1701"/>
            <w:shd w:val="clear" w:color="auto" w:fill="2E74B5"/>
          </w:tcPr>
          <w:p>
            <w:pPr>
              <w:jc w:val="center"/>
            </w:pPr>
            <w:r>
              <w:rPr>
                <w:b/>
                <w:color w:val="FFFFFF"/>
              </w:rPr>
              <w:t>AE Score Mean</w:t>
            </w:r>
          </w:p>
        </w:tc>
        <w:tc>
          <w:tcPr>
            <w:tcW w:type="dxa" w:w="1984"/>
            <w:shd w:val="clear" w:color="auto" w:fill="2E74B5"/>
          </w:tcPr>
          <w:p>
            <w:pPr>
              <w:jc w:val="center"/>
            </w:pPr>
            <w:r>
              <w:rPr>
                <w:b/>
                <w:color w:val="FFFFFF"/>
              </w:rPr>
              <w:t>Deteccion</w:t>
            </w:r>
          </w:p>
        </w:tc>
      </w:tr>
      <w:tr>
        <w:tc>
          <w:tcPr>
            <w:tcW w:type="dxa" w:w="2551"/>
          </w:tcPr>
          <w:p>
            <w:pPr>
              <w:jc w:val="left"/>
            </w:pPr>
            <w:r>
              <w:t>Extremely_Loud</w:t>
            </w:r>
          </w:p>
        </w:tc>
        <w:tc>
          <w:tcPr>
            <w:tcW w:type="dxa" w:w="680"/>
          </w:tcPr>
          <w:p>
            <w:pPr>
              <w:jc w:val="center"/>
            </w:pPr>
            <w:r>
              <w:t>19</w:t>
            </w:r>
          </w:p>
        </w:tc>
        <w:tc>
          <w:tcPr>
            <w:tcW w:type="dxa" w:w="1701"/>
          </w:tcPr>
          <w:p>
            <w:pPr>
              <w:jc w:val="center"/>
            </w:pPr>
            <w:r>
              <w:t>0.208</w:t>
            </w:r>
          </w:p>
        </w:tc>
        <w:tc>
          <w:tcPr>
            <w:tcW w:type="dxa" w:w="1984"/>
          </w:tcPr>
          <w:p>
            <w:pPr>
              <w:jc w:val="center"/>
            </w:pPr>
            <w:r>
              <w:t>Fuerte</w:t>
            </w:r>
          </w:p>
        </w:tc>
      </w:tr>
      <w:tr>
        <w:tc>
          <w:tcPr>
            <w:tcW w:type="dxa" w:w="2551"/>
          </w:tcPr>
          <w:p>
            <w:pPr>
              <w:jc w:val="left"/>
            </w:pPr>
            <w:r>
              <w:t>Koi_Fish</w:t>
            </w:r>
          </w:p>
        </w:tc>
        <w:tc>
          <w:tcPr>
            <w:tcW w:type="dxa" w:w="680"/>
          </w:tcPr>
          <w:p>
            <w:pPr>
              <w:jc w:val="center"/>
            </w:pPr>
            <w:r>
              <w:t xml:space="preserve"> 3</w:t>
            </w:r>
          </w:p>
        </w:tc>
        <w:tc>
          <w:tcPr>
            <w:tcW w:type="dxa" w:w="1701"/>
          </w:tcPr>
          <w:p>
            <w:pPr>
              <w:jc w:val="center"/>
            </w:pPr>
            <w:r>
              <w:t>0.081</w:t>
            </w:r>
          </w:p>
        </w:tc>
        <w:tc>
          <w:tcPr>
            <w:tcW w:type="dxa" w:w="1984"/>
          </w:tcPr>
          <w:p>
            <w:pPr>
              <w:jc w:val="center"/>
            </w:pPr>
            <w:r>
              <w:t>Clara</w:t>
            </w:r>
          </w:p>
        </w:tc>
      </w:tr>
      <w:tr>
        <w:tc>
          <w:tcPr>
            <w:tcW w:type="dxa" w:w="2551"/>
          </w:tcPr>
          <w:p>
            <w:pPr>
              <w:jc w:val="left"/>
            </w:pPr>
            <w:r>
              <w:t>Scratchy</w:t>
            </w:r>
          </w:p>
        </w:tc>
        <w:tc>
          <w:tcPr>
            <w:tcW w:type="dxa" w:w="680"/>
          </w:tcPr>
          <w:p>
            <w:pPr>
              <w:jc w:val="center"/>
            </w:pPr>
            <w:r>
              <w:t xml:space="preserve"> 1</w:t>
            </w:r>
          </w:p>
        </w:tc>
        <w:tc>
          <w:tcPr>
            <w:tcW w:type="dxa" w:w="1701"/>
          </w:tcPr>
          <w:p>
            <w:pPr>
              <w:jc w:val="center"/>
            </w:pPr>
            <w:r>
              <w:t>0.062</w:t>
            </w:r>
          </w:p>
        </w:tc>
        <w:tc>
          <w:tcPr>
            <w:tcW w:type="dxa" w:w="1984"/>
          </w:tcPr>
          <w:p>
            <w:pPr>
              <w:jc w:val="center"/>
            </w:pPr>
            <w:r>
              <w:t>Probable</w:t>
            </w:r>
          </w:p>
        </w:tc>
      </w:tr>
      <w:tr>
        <w:tc>
          <w:tcPr>
            <w:tcW w:type="dxa" w:w="2551"/>
          </w:tcPr>
          <w:p>
            <w:pPr>
              <w:jc w:val="left"/>
            </w:pPr>
            <w:r>
              <w:t>Scattered_Light</w:t>
            </w:r>
          </w:p>
        </w:tc>
        <w:tc>
          <w:tcPr>
            <w:tcW w:type="dxa" w:w="680"/>
          </w:tcPr>
          <w:p>
            <w:pPr>
              <w:jc w:val="center"/>
            </w:pPr>
            <w:r>
              <w:t>211</w:t>
            </w:r>
          </w:p>
        </w:tc>
        <w:tc>
          <w:tcPr>
            <w:tcW w:type="dxa" w:w="1701"/>
          </w:tcPr>
          <w:p>
            <w:pPr>
              <w:jc w:val="center"/>
            </w:pPr>
            <w:r>
              <w:t>0.051</w:t>
            </w:r>
          </w:p>
        </w:tc>
        <w:tc>
          <w:tcPr>
            <w:tcW w:type="dxa" w:w="1984"/>
          </w:tcPr>
          <w:p>
            <w:pPr>
              <w:jc w:val="center"/>
            </w:pPr>
            <w:r>
              <w:t>Marginal</w:t>
            </w:r>
          </w:p>
        </w:tc>
      </w:tr>
      <w:tr>
        <w:tc>
          <w:tcPr>
            <w:tcW w:type="dxa" w:w="2551"/>
          </w:tcPr>
          <w:p>
            <w:pPr>
              <w:jc w:val="left"/>
            </w:pPr>
            <w:r>
              <w:t>Whistle</w:t>
            </w:r>
          </w:p>
        </w:tc>
        <w:tc>
          <w:tcPr>
            <w:tcW w:type="dxa" w:w="680"/>
          </w:tcPr>
          <w:p>
            <w:pPr>
              <w:jc w:val="center"/>
            </w:pPr>
            <w:r>
              <w:t>11</w:t>
            </w:r>
          </w:p>
        </w:tc>
        <w:tc>
          <w:tcPr>
            <w:tcW w:type="dxa" w:w="1701"/>
          </w:tcPr>
          <w:p>
            <w:pPr>
              <w:jc w:val="center"/>
            </w:pPr>
            <w:r>
              <w:t>0.049</w:t>
            </w:r>
          </w:p>
        </w:tc>
        <w:tc>
          <w:tcPr>
            <w:tcW w:type="dxa" w:w="1984"/>
          </w:tcPr>
          <w:p>
            <w:pPr>
              <w:jc w:val="center"/>
            </w:pPr>
            <w:r>
              <w:t>Marginal</w:t>
            </w:r>
          </w:p>
        </w:tc>
      </w:tr>
      <w:tr>
        <w:tc>
          <w:tcPr>
            <w:tcW w:type="dxa" w:w="2551"/>
          </w:tcPr>
          <w:p>
            <w:pPr>
              <w:jc w:val="left"/>
            </w:pPr>
            <w:r>
              <w:t>Repeating_Blips</w:t>
            </w:r>
          </w:p>
        </w:tc>
        <w:tc>
          <w:tcPr>
            <w:tcW w:type="dxa" w:w="680"/>
          </w:tcPr>
          <w:p>
            <w:pPr>
              <w:jc w:val="center"/>
            </w:pPr>
            <w:r>
              <w:t xml:space="preserve"> 3</w:t>
            </w:r>
          </w:p>
        </w:tc>
        <w:tc>
          <w:tcPr>
            <w:tcW w:type="dxa" w:w="1701"/>
          </w:tcPr>
          <w:p>
            <w:pPr>
              <w:jc w:val="center"/>
            </w:pPr>
            <w:r>
              <w:t>0.048</w:t>
            </w:r>
          </w:p>
        </w:tc>
        <w:tc>
          <w:tcPr>
            <w:tcW w:type="dxa" w:w="1984"/>
          </w:tcPr>
          <w:p>
            <w:pPr>
              <w:jc w:val="center"/>
            </w:pPr>
            <w:r>
              <w:t>Marginal</w:t>
            </w:r>
          </w:p>
        </w:tc>
      </w:tr>
      <w:tr>
        <w:tc>
          <w:tcPr>
            <w:tcW w:type="dxa" w:w="2551"/>
          </w:tcPr>
          <w:p>
            <w:pPr>
              <w:jc w:val="left"/>
            </w:pPr>
            <w:r>
              <w:t>Low_Frequency_Burst</w:t>
            </w:r>
          </w:p>
        </w:tc>
        <w:tc>
          <w:tcPr>
            <w:tcW w:type="dxa" w:w="680"/>
          </w:tcPr>
          <w:p>
            <w:pPr>
              <w:jc w:val="center"/>
            </w:pPr>
            <w:r>
              <w:t>226</w:t>
            </w:r>
          </w:p>
        </w:tc>
        <w:tc>
          <w:tcPr>
            <w:tcW w:type="dxa" w:w="1701"/>
          </w:tcPr>
          <w:p>
            <w:pPr>
              <w:jc w:val="center"/>
            </w:pPr>
            <w:r>
              <w:t>0.044</w:t>
            </w:r>
          </w:p>
        </w:tc>
        <w:tc>
          <w:tcPr>
            <w:tcW w:type="dxa" w:w="1984"/>
          </w:tcPr>
          <w:p>
            <w:pPr>
              <w:jc w:val="center"/>
            </w:pPr>
            <w:r>
              <w:t>Nivel de ruido</w:t>
            </w:r>
          </w:p>
        </w:tc>
      </w:tr>
      <w:tr>
        <w:tc>
          <w:tcPr>
            <w:tcW w:type="dxa" w:w="2551"/>
          </w:tcPr>
          <w:p>
            <w:pPr>
              <w:jc w:val="left"/>
            </w:pPr>
            <w:r>
              <w:t>Low_Frequency_Lines</w:t>
            </w:r>
          </w:p>
        </w:tc>
        <w:tc>
          <w:tcPr>
            <w:tcW w:type="dxa" w:w="680"/>
          </w:tcPr>
          <w:p>
            <w:pPr>
              <w:jc w:val="center"/>
            </w:pPr>
            <w:r>
              <w:t>15</w:t>
            </w:r>
          </w:p>
        </w:tc>
        <w:tc>
          <w:tcPr>
            <w:tcW w:type="dxa" w:w="1701"/>
          </w:tcPr>
          <w:p>
            <w:pPr>
              <w:jc w:val="center"/>
            </w:pPr>
            <w:r>
              <w:t>0.044</w:t>
            </w:r>
          </w:p>
        </w:tc>
        <w:tc>
          <w:tcPr>
            <w:tcW w:type="dxa" w:w="1984"/>
          </w:tcPr>
          <w:p>
            <w:pPr>
              <w:jc w:val="center"/>
            </w:pPr>
            <w:r>
              <w:t>Nivel de ruido</w:t>
            </w:r>
          </w:p>
        </w:tc>
      </w:tr>
      <w:tr>
        <w:tc>
          <w:tcPr>
            <w:tcW w:type="dxa" w:w="2551"/>
          </w:tcPr>
          <w:p>
            <w:pPr>
              <w:jc w:val="left"/>
            </w:pPr>
            <w:r>
              <w:t>Blip</w:t>
            </w:r>
          </w:p>
        </w:tc>
        <w:tc>
          <w:tcPr>
            <w:tcW w:type="dxa" w:w="680"/>
          </w:tcPr>
          <w:p>
            <w:pPr>
              <w:jc w:val="center"/>
            </w:pPr>
            <w:r>
              <w:t xml:space="preserve"> 4</w:t>
            </w:r>
          </w:p>
        </w:tc>
        <w:tc>
          <w:tcPr>
            <w:tcW w:type="dxa" w:w="1701"/>
          </w:tcPr>
          <w:p>
            <w:pPr>
              <w:jc w:val="center"/>
            </w:pPr>
            <w:r>
              <w:t>0.043</w:t>
            </w:r>
          </w:p>
        </w:tc>
        <w:tc>
          <w:tcPr>
            <w:tcW w:type="dxa" w:w="1984"/>
          </w:tcPr>
          <w:p>
            <w:pPr>
              <w:jc w:val="center"/>
            </w:pPr>
            <w:r>
              <w:t>Nivel de ruido</w:t>
            </w:r>
          </w:p>
        </w:tc>
      </w:tr>
      <w:tr>
        <w:tc>
          <w:tcPr>
            <w:tcW w:type="dxa" w:w="2551"/>
          </w:tcPr>
          <w:p>
            <w:pPr>
              <w:jc w:val="left"/>
            </w:pPr>
            <w:r>
              <w:t>No_Glitch</w:t>
            </w:r>
          </w:p>
        </w:tc>
        <w:tc>
          <w:tcPr>
            <w:tcW w:type="dxa" w:w="680"/>
          </w:tcPr>
          <w:p>
            <w:pPr>
              <w:jc w:val="center"/>
            </w:pPr>
            <w:r>
              <w:t xml:space="preserve"> 1</w:t>
            </w:r>
          </w:p>
        </w:tc>
        <w:tc>
          <w:tcPr>
            <w:tcW w:type="dxa" w:w="1701"/>
          </w:tcPr>
          <w:p>
            <w:pPr>
              <w:jc w:val="center"/>
            </w:pPr>
            <w:r>
              <w:t>0.042</w:t>
            </w:r>
          </w:p>
        </w:tc>
        <w:tc>
          <w:tcPr>
            <w:tcW w:type="dxa" w:w="1984"/>
          </w:tcPr>
          <w:p>
            <w:pPr>
              <w:jc w:val="center"/>
            </w:pPr>
            <w:r>
              <w:t>Baseline</w:t>
            </w:r>
          </w:p>
        </w:tc>
      </w:tr>
    </w:tbl>
    <w:p/>
    <w:p>
      <w:pPr>
        <w:pStyle w:val="Heading2"/>
      </w:pPr>
      <w:r>
        <w:t>3.4 Evolucion del modelo</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850"/>
            <w:shd w:val="clear" w:color="auto" w:fill="2E74B5"/>
          </w:tcPr>
          <w:p>
            <w:pPr>
              <w:jc w:val="center"/>
            </w:pPr>
            <w:r>
              <w:rPr>
                <w:b/>
                <w:color w:val="FFFFFF"/>
              </w:rPr>
              <w:t>Version</w:t>
            </w:r>
          </w:p>
        </w:tc>
        <w:tc>
          <w:tcPr>
            <w:tcW w:type="dxa" w:w="1020"/>
            <w:shd w:val="clear" w:color="auto" w:fill="2E74B5"/>
          </w:tcPr>
          <w:p>
            <w:pPr>
              <w:jc w:val="center"/>
            </w:pPr>
            <w:r>
              <w:rPr>
                <w:b/>
                <w:color w:val="FFFFFF"/>
              </w:rPr>
              <w:t>AUROC</w:t>
            </w:r>
          </w:p>
        </w:tc>
        <w:tc>
          <w:tcPr>
            <w:tcW w:type="dxa" w:w="2268"/>
            <w:shd w:val="clear" w:color="auto" w:fill="2E74B5"/>
          </w:tcPr>
          <w:p>
            <w:pPr>
              <w:jc w:val="center"/>
            </w:pPr>
            <w:r>
              <w:rPr>
                <w:b/>
                <w:color w:val="FFFFFF"/>
              </w:rPr>
              <w:t>Datos Train</w:t>
            </w:r>
          </w:p>
        </w:tc>
        <w:tc>
          <w:tcPr>
            <w:tcW w:type="dxa" w:w="3118"/>
            <w:shd w:val="clear" w:color="auto" w:fill="2E74B5"/>
          </w:tcPr>
          <w:p>
            <w:pPr>
              <w:jc w:val="center"/>
            </w:pPr>
            <w:r>
              <w:rPr>
                <w:b/>
                <w:color w:val="FFFFFF"/>
              </w:rPr>
              <w:t>Problema / Solucion</w:t>
            </w:r>
          </w:p>
        </w:tc>
      </w:tr>
      <w:tr>
        <w:tc>
          <w:tcPr>
            <w:tcW w:type="dxa" w:w="850"/>
          </w:tcPr>
          <w:p>
            <w:pPr>
              <w:jc w:val="left"/>
            </w:pPr>
            <w:r>
              <w:t>v1</w:t>
            </w:r>
          </w:p>
        </w:tc>
        <w:tc>
          <w:tcPr>
            <w:tcW w:type="dxa" w:w="1020"/>
          </w:tcPr>
          <w:p>
            <w:pPr>
              <w:jc w:val="center"/>
            </w:pPr>
            <w:r>
              <w:t>0.53</w:t>
            </w:r>
          </w:p>
        </w:tc>
        <w:tc>
          <w:tcPr>
            <w:tcW w:type="dxa" w:w="2268"/>
          </w:tcPr>
          <w:p>
            <w:pPr>
              <w:jc w:val="left"/>
            </w:pPr>
            <w:r>
              <w:t>1331 ventanas, norm P99/ventana</w:t>
            </w:r>
          </w:p>
        </w:tc>
        <w:tc>
          <w:tcPr>
            <w:tcW w:type="dxa" w:w="3118"/>
          </w:tcPr>
          <w:p>
            <w:pPr>
              <w:jc w:val="left"/>
            </w:pPr>
            <w:r>
              <w:t>Normalizacion per-window en ambos lados</w:t>
            </w:r>
          </w:p>
        </w:tc>
      </w:tr>
      <w:tr>
        <w:tc>
          <w:tcPr>
            <w:tcW w:type="dxa" w:w="850"/>
          </w:tcPr>
          <w:p>
            <w:pPr>
              <w:jc w:val="left"/>
            </w:pPr>
            <w:r>
              <w:t>v2</w:t>
            </w:r>
          </w:p>
        </w:tc>
        <w:tc>
          <w:tcPr>
            <w:tcW w:type="dxa" w:w="1020"/>
          </w:tcPr>
          <w:p>
            <w:pPr>
              <w:jc w:val="center"/>
            </w:pPr>
            <w:r>
              <w:t>0.30</w:t>
            </w:r>
          </w:p>
        </w:tc>
        <w:tc>
          <w:tcPr>
            <w:tcW w:type="dxa" w:w="2268"/>
          </w:tcPr>
          <w:p>
            <w:pPr>
              <w:jc w:val="left"/>
            </w:pPr>
            <w:r>
              <w:t>7600 ventanas, norm P99/ventana</w:t>
            </w:r>
          </w:p>
        </w:tc>
        <w:tc>
          <w:tcPr>
            <w:tcW w:type="dxa" w:w="3118"/>
          </w:tcPr>
          <w:p>
            <w:pPr>
              <w:jc w:val="left"/>
            </w:pPr>
            <w:r>
              <w:t>Mismatch normalizacion -&gt; polaridad invertida</w:t>
            </w:r>
          </w:p>
        </w:tc>
      </w:tr>
      <w:tr>
        <w:tc>
          <w:tcPr>
            <w:tcW w:type="dxa" w:w="850"/>
          </w:tcPr>
          <w:p>
            <w:pPr>
              <w:jc w:val="left"/>
            </w:pPr>
            <w:r>
              <w:t>v3</w:t>
            </w:r>
          </w:p>
        </w:tc>
        <w:tc>
          <w:tcPr>
            <w:tcW w:type="dxa" w:w="1020"/>
          </w:tcPr>
          <w:p>
            <w:pPr>
              <w:jc w:val="center"/>
            </w:pPr>
            <w:r>
              <w:t>0.85</w:t>
            </w:r>
          </w:p>
        </w:tc>
        <w:tc>
          <w:tcPr>
            <w:tcW w:type="dxa" w:w="2268"/>
          </w:tcPr>
          <w:p>
            <w:pPr>
              <w:jc w:val="left"/>
            </w:pPr>
            <w:r>
              <w:t>465 ventanas raw</w:t>
            </w:r>
          </w:p>
        </w:tc>
        <w:tc>
          <w:tcPr>
            <w:tcW w:type="dxa" w:w="3118"/>
          </w:tcPr>
          <w:p>
            <w:pPr>
              <w:jc w:val="left"/>
            </w:pPr>
            <w:r>
              <w:t>Normalizacion global consistente (ADR-0015)</w:t>
            </w:r>
          </w:p>
        </w:tc>
      </w:tr>
      <w:tr>
        <w:tc>
          <w:tcPr>
            <w:tcW w:type="dxa" w:w="850"/>
          </w:tcPr>
          <w:p>
            <w:pPr>
              <w:jc w:val="left"/>
            </w:pPr>
            <w:r>
              <w:t>v4</w:t>
            </w:r>
          </w:p>
        </w:tc>
        <w:tc>
          <w:tcPr>
            <w:tcW w:type="dxa" w:w="1020"/>
          </w:tcPr>
          <w:p>
            <w:pPr>
              <w:jc w:val="center"/>
            </w:pPr>
            <w:r>
              <w:t>0.85*</w:t>
            </w:r>
          </w:p>
        </w:tc>
        <w:tc>
          <w:tcPr>
            <w:tcW w:type="dxa" w:w="2268"/>
          </w:tcPr>
          <w:p>
            <w:pPr>
              <w:jc w:val="left"/>
            </w:pPr>
            <w:r>
              <w:t>6141 ventanas raw, multi-detector</w:t>
            </w:r>
          </w:p>
        </w:tc>
        <w:tc>
          <w:tcPr>
            <w:tcW w:type="dxa" w:w="3118"/>
          </w:tcPr>
          <w:p>
            <w:pPr>
              <w:jc w:val="left"/>
            </w:pPr>
            <w:r>
              <w:t>Version final, mejor generalizacion</w:t>
            </w:r>
          </w:p>
        </w:tc>
      </w:tr>
    </w:tbl>
    <w:p/>
    <w:p>
      <w:r>
        <w:rPr>
          <w:rFonts w:ascii="Calibri" w:hAnsi="Calibri"/>
          <w:b w:val="0"/>
          <w:i/>
          <w:sz w:val="22"/>
        </w:rPr>
        <w:t>*AUROC de v4 estimado; evaluacion formal con mismo test set de v3.</w:t>
      </w:r>
    </w:p>
    <w:p>
      <w:r>
        <w:br w:type="page"/>
      </w:r>
    </w:p>
    <w:p>
      <w:pPr>
        <w:pStyle w:val="Heading1"/>
      </w:pPr>
      <w:r>
        <w:t>4. Modulo M2 -- Clasificacion ANFIS</w:t>
      </w:r>
    </w:p>
    <w:p>
      <w:pPr>
        <w:pStyle w:val="Heading2"/>
      </w:pPr>
      <w:r>
        <w:t>4.1 Macro-clases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1417"/>
            <w:shd w:val="clear" w:color="auto" w:fill="2E74B5"/>
          </w:tcPr>
          <w:p>
            <w:pPr>
              <w:jc w:val="center"/>
            </w:pPr>
            <w:r>
              <w:rPr>
                <w:b/>
                <w:color w:val="FFFFFF"/>
              </w:rPr>
              <w:t>Macro-clase</w:t>
            </w:r>
          </w:p>
        </w:tc>
        <w:tc>
          <w:tcPr>
            <w:tcW w:type="dxa" w:w="4819"/>
            <w:shd w:val="clear" w:color="auto" w:fill="2E74B5"/>
          </w:tcPr>
          <w:p>
            <w:pPr>
              <w:jc w:val="center"/>
            </w:pPr>
            <w:r>
              <w:rPr>
                <w:b/>
                <w:color w:val="FFFFFF"/>
              </w:rPr>
              <w:t>Clases originales</w:t>
            </w:r>
          </w:p>
        </w:tc>
        <w:tc>
          <w:tcPr>
            <w:tcW w:type="dxa" w:w="1134"/>
            <w:shd w:val="clear" w:color="auto" w:fill="2E74B5"/>
          </w:tcPr>
          <w:p>
            <w:pPr>
              <w:jc w:val="center"/>
            </w:pPr>
            <w:r>
              <w:rPr>
                <w:b/>
                <w:color w:val="FFFFFF"/>
              </w:rPr>
              <w:t>N muestras</w:t>
            </w:r>
          </w:p>
        </w:tc>
      </w:tr>
      <w:tr>
        <w:tc>
          <w:tcPr>
            <w:tcW w:type="dxa" w:w="1417"/>
          </w:tcPr>
          <w:p>
            <w:pPr>
              <w:jc w:val="left"/>
            </w:pPr>
            <w:r>
              <w:t>Loud</w:t>
            </w:r>
          </w:p>
        </w:tc>
        <w:tc>
          <w:tcPr>
            <w:tcW w:type="dxa" w:w="4819"/>
          </w:tcPr>
          <w:p>
            <w:pPr>
              <w:jc w:val="left"/>
            </w:pPr>
            <w:r>
              <w:t>Extremely_Loud, Koi_Fish</w:t>
            </w:r>
          </w:p>
        </w:tc>
        <w:tc>
          <w:tcPr>
            <w:tcW w:type="dxa" w:w="1134"/>
          </w:tcPr>
          <w:p>
            <w:pPr>
              <w:jc w:val="center"/>
            </w:pPr>
            <w:r>
              <w:t>279</w:t>
            </w:r>
          </w:p>
        </w:tc>
      </w:tr>
      <w:tr>
        <w:tc>
          <w:tcPr>
            <w:tcW w:type="dxa" w:w="1417"/>
          </w:tcPr>
          <w:p>
            <w:pPr>
              <w:jc w:val="left"/>
            </w:pPr>
            <w:r>
              <w:t>Burst</w:t>
            </w:r>
          </w:p>
        </w:tc>
        <w:tc>
          <w:tcPr>
            <w:tcW w:type="dxa" w:w="4819"/>
          </w:tcPr>
          <w:p>
            <w:pPr>
              <w:jc w:val="left"/>
            </w:pPr>
            <w:r>
              <w:t>Low_Frequency_Burst, Blip, Blip_Low_Frequency</w:t>
            </w:r>
          </w:p>
        </w:tc>
        <w:tc>
          <w:tcPr>
            <w:tcW w:type="dxa" w:w="1134"/>
          </w:tcPr>
          <w:p>
            <w:pPr>
              <w:jc w:val="center"/>
            </w:pPr>
            <w:r>
              <w:t>396</w:t>
            </w:r>
          </w:p>
        </w:tc>
      </w:tr>
      <w:tr>
        <w:tc>
          <w:tcPr>
            <w:tcW w:type="dxa" w:w="1417"/>
          </w:tcPr>
          <w:p>
            <w:pPr>
              <w:jc w:val="left"/>
            </w:pPr>
            <w:r>
              <w:t>Scatter</w:t>
            </w:r>
          </w:p>
        </w:tc>
        <w:tc>
          <w:tcPr>
            <w:tcW w:type="dxa" w:w="4819"/>
          </w:tcPr>
          <w:p>
            <w:pPr>
              <w:jc w:val="left"/>
            </w:pPr>
            <w:r>
              <w:t>Scattered_Light, Fast_Scattering</w:t>
            </w:r>
          </w:p>
        </w:tc>
        <w:tc>
          <w:tcPr>
            <w:tcW w:type="dxa" w:w="1134"/>
          </w:tcPr>
          <w:p>
            <w:pPr>
              <w:jc w:val="center"/>
            </w:pPr>
            <w:r>
              <w:t>554</w:t>
            </w:r>
          </w:p>
        </w:tc>
      </w:tr>
      <w:tr>
        <w:tc>
          <w:tcPr>
            <w:tcW w:type="dxa" w:w="1417"/>
          </w:tcPr>
          <w:p>
            <w:pPr>
              <w:jc w:val="left"/>
            </w:pPr>
            <w:r>
              <w:t>Other</w:t>
            </w:r>
          </w:p>
        </w:tc>
        <w:tc>
          <w:tcPr>
            <w:tcW w:type="dxa" w:w="4819"/>
          </w:tcPr>
          <w:p>
            <w:pPr>
              <w:jc w:val="left"/>
            </w:pPr>
            <w:r>
              <w:t>Whistle, Tomte, Repeating_Blips, Low_Frequency_Lines,</w:t>
              <w:br/>
              <w:t>Power_Line, Violin_Mode, Chirp, Scratchy, No_Glitch, etc.</w:t>
            </w:r>
          </w:p>
        </w:tc>
        <w:tc>
          <w:tcPr>
            <w:tcW w:type="dxa" w:w="1134"/>
          </w:tcPr>
          <w:p>
            <w:pPr>
              <w:jc w:val="center"/>
            </w:pPr>
            <w:r>
              <w:t>408</w:t>
            </w:r>
          </w:p>
        </w:tc>
      </w:tr>
    </w:tbl>
    <w:p/>
    <w:p>
      <w:pPr>
        <w:pStyle w:val="Heading2"/>
      </w:pPr>
      <w:r>
        <w:t>4.2 Features de entrada</w:t>
      </w:r>
    </w:p>
    <w:p>
      <w:r>
        <w:rPr>
          <w:rFonts w:ascii="Calibri" w:hAnsi="Calibri"/>
          <w:b w:val="0"/>
          <w:i w:val="0"/>
          <w:sz w:val="22"/>
        </w:rPr>
        <w:t>6 features con ANOVA F-score entre parentesis: peak_frequency (F=137.9), ae_score (F=80.1), log_energy (F=77.4), snr (F=62.4), duration (F=28.3), bandwidth (F=10.0). El ae_score proviene del encoder de M1 (error de reconstruccion). Los demas provienen del catalogo Gravity Spy (metadata de triggers Omicron).</w:t>
      </w:r>
    </w:p>
    <w:p>
      <w:pPr>
        <w:pStyle w:val="Heading2"/>
      </w:pPr>
      <w:r>
        <w:t>4.3 Arquitectura ANFIS jerarquica</w:t>
      </w:r>
    </w:p>
    <w:p>
      <w:r>
        <w:rPr>
          <w:rFonts w:ascii="Calibri" w:hAnsi="Calibri"/>
          <w:b w:val="0"/>
          <w:i w:val="0"/>
          <w:sz w:val="22"/>
        </w:rPr>
        <w:t>Modelo Takagi-Sugeno de primer orden con funciones de pertenencia Generalized Bell (GBELLMF). Entrenamiento hibrido: LSE para parametros consecuentes + Adam (lr=0.01) para parametros de premisa.</w:t>
      </w:r>
    </w:p>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134"/>
            <w:shd w:val="clear" w:color="auto" w:fill="2E74B5"/>
          </w:tcPr>
          <w:p>
            <w:pPr>
              <w:jc w:val="center"/>
            </w:pPr>
            <w:r>
              <w:rPr>
                <w:b/>
                <w:color w:val="FFFFFF"/>
              </w:rPr>
              <w:t>Etapa</w:t>
            </w:r>
          </w:p>
        </w:tc>
        <w:tc>
          <w:tcPr>
            <w:tcW w:type="dxa" w:w="2551"/>
            <w:shd w:val="clear" w:color="auto" w:fill="2E74B5"/>
          </w:tcPr>
          <w:p>
            <w:pPr>
              <w:jc w:val="center"/>
            </w:pPr>
            <w:r>
              <w:rPr>
                <w:b/>
                <w:color w:val="FFFFFF"/>
              </w:rPr>
              <w:t>Objetivo</w:t>
            </w:r>
          </w:p>
        </w:tc>
        <w:tc>
          <w:tcPr>
            <w:tcW w:type="dxa" w:w="850"/>
            <w:shd w:val="clear" w:color="auto" w:fill="2E74B5"/>
          </w:tcPr>
          <w:p>
            <w:pPr>
              <w:jc w:val="center"/>
            </w:pPr>
            <w:r>
              <w:rPr>
                <w:b/>
                <w:color w:val="FFFFFF"/>
              </w:rPr>
              <w:t>Reglas</w:t>
            </w:r>
          </w:p>
        </w:tc>
        <w:tc>
          <w:tcPr>
            <w:tcW w:type="dxa" w:w="850"/>
            <w:shd w:val="clear" w:color="auto" w:fill="2E74B5"/>
          </w:tcPr>
          <w:p>
            <w:pPr>
              <w:jc w:val="center"/>
            </w:pPr>
            <w:r>
              <w:rPr>
                <w:b/>
                <w:color w:val="FFFFFF"/>
              </w:rPr>
              <w:t>ra</w:t>
            </w:r>
          </w:p>
        </w:tc>
        <w:tc>
          <w:tcPr>
            <w:tcW w:type="dxa" w:w="1417"/>
            <w:shd w:val="clear" w:color="auto" w:fill="2E74B5"/>
          </w:tcPr>
          <w:p>
            <w:pPr>
              <w:jc w:val="center"/>
            </w:pPr>
            <w:r>
              <w:rPr>
                <w:b/>
                <w:color w:val="FFFFFF"/>
              </w:rPr>
              <w:t>Accuracy</w:t>
            </w:r>
          </w:p>
        </w:tc>
      </w:tr>
      <w:tr>
        <w:tc>
          <w:tcPr>
            <w:tcW w:type="dxa" w:w="1134"/>
          </w:tcPr>
          <w:p>
            <w:pPr>
              <w:jc w:val="left"/>
            </w:pPr>
            <w:r>
              <w:t>Etapa 1</w:t>
            </w:r>
          </w:p>
        </w:tc>
        <w:tc>
          <w:tcPr>
            <w:tcW w:type="dxa" w:w="2551"/>
          </w:tcPr>
          <w:p>
            <w:pPr>
              <w:jc w:val="left"/>
            </w:pPr>
            <w:r>
              <w:t>Loud vs Rest</w:t>
            </w:r>
          </w:p>
        </w:tc>
        <w:tc>
          <w:tcPr>
            <w:tcW w:type="dxa" w:w="850"/>
          </w:tcPr>
          <w:p>
            <w:pPr>
              <w:jc w:val="center"/>
            </w:pPr>
            <w:r>
              <w:t>7</w:t>
            </w:r>
          </w:p>
        </w:tc>
        <w:tc>
          <w:tcPr>
            <w:tcW w:type="dxa" w:w="850"/>
          </w:tcPr>
          <w:p>
            <w:pPr>
              <w:jc w:val="center"/>
            </w:pPr>
            <w:r>
              <w:t>0.15</w:t>
            </w:r>
          </w:p>
        </w:tc>
        <w:tc>
          <w:tcPr>
            <w:tcW w:type="dxa" w:w="1417"/>
          </w:tcPr>
          <w:p>
            <w:pPr>
              <w:jc w:val="center"/>
            </w:pPr>
            <w:r>
              <w:t>90.3%</w:t>
            </w:r>
          </w:p>
        </w:tc>
      </w:tr>
      <w:tr>
        <w:tc>
          <w:tcPr>
            <w:tcW w:type="dxa" w:w="1134"/>
          </w:tcPr>
          <w:p>
            <w:pPr>
              <w:jc w:val="left"/>
            </w:pPr>
            <w:r>
              <w:t>Etapa 2</w:t>
            </w:r>
          </w:p>
        </w:tc>
        <w:tc>
          <w:tcPr>
            <w:tcW w:type="dxa" w:w="2551"/>
          </w:tcPr>
          <w:p>
            <w:pPr>
              <w:jc w:val="left"/>
            </w:pPr>
            <w:r>
              <w:t>Burst vs Scatter vs Other</w:t>
            </w:r>
          </w:p>
        </w:tc>
        <w:tc>
          <w:tcPr>
            <w:tcW w:type="dxa" w:w="850"/>
          </w:tcPr>
          <w:p>
            <w:pPr>
              <w:jc w:val="center"/>
            </w:pPr>
            <w:r>
              <w:t>8</w:t>
            </w:r>
          </w:p>
        </w:tc>
        <w:tc>
          <w:tcPr>
            <w:tcW w:type="dxa" w:w="850"/>
          </w:tcPr>
          <w:p>
            <w:pPr>
              <w:jc w:val="center"/>
            </w:pPr>
            <w:r>
              <w:t>0.10</w:t>
            </w:r>
          </w:p>
        </w:tc>
        <w:tc>
          <w:tcPr>
            <w:tcW w:type="dxa" w:w="1417"/>
          </w:tcPr>
          <w:p>
            <w:pPr>
              <w:jc w:val="center"/>
            </w:pPr>
            <w:r>
              <w:t>71.1%</w:t>
            </w:r>
          </w:p>
        </w:tc>
      </w:tr>
    </w:tbl>
    <w:p/>
    <w:p>
      <w:pPr>
        <w:jc w:val="center"/>
      </w:pPr>
      <w:r>
        <w:drawing>
          <wp:inline xmlns:a="http://schemas.openxmlformats.org/drawingml/2006/main" xmlns:pic="http://schemas.openxmlformats.org/drawingml/2006/picture">
            <wp:extent cx="5040000" cy="1832727"/>
            <wp:docPr id="4" name="Picture 4"/>
            <wp:cNvGraphicFramePr>
              <a:graphicFrameLocks noChangeAspect="1"/>
            </wp:cNvGraphicFramePr>
            <a:graphic>
              <a:graphicData uri="http://schemas.openxmlformats.org/drawingml/2006/picture">
                <pic:pic>
                  <pic:nvPicPr>
                    <pic:cNvPr id="0" name="training_curves_stage1.png"/>
                    <pic:cNvPicPr/>
                  </pic:nvPicPr>
                  <pic:blipFill>
                    <a:blip r:embed="rId13"/>
                    <a:stretch>
                      <a:fillRect/>
                    </a:stretch>
                  </pic:blipFill>
                  <pic:spPr>
                    <a:xfrm>
                      <a:off x="0" y="0"/>
                      <a:ext cx="5040000" cy="1832727"/>
                    </a:xfrm>
                    <a:prstGeom prst="rect"/>
                  </pic:spPr>
                </pic:pic>
              </a:graphicData>
            </a:graphic>
          </wp:inline>
        </w:drawing>
      </w:r>
    </w:p>
    <w:p>
      <w:pPr>
        <w:jc w:val="center"/>
      </w:pPr>
      <w:r>
        <w:rPr>
          <w:i/>
          <w:color w:val="606060"/>
          <w:sz w:val="18"/>
        </w:rPr>
        <w:t>Figura 4. Curvas de entrenamiento Etapa 1 (Loud vs Rest).</w:t>
      </w:r>
    </w:p>
    <w:p>
      <w:pPr>
        <w:jc w:val="center"/>
      </w:pPr>
      <w:r>
        <w:drawing>
          <wp:inline xmlns:a="http://schemas.openxmlformats.org/drawingml/2006/main" xmlns:pic="http://schemas.openxmlformats.org/drawingml/2006/picture">
            <wp:extent cx="5040000" cy="1832727"/>
            <wp:docPr id="5" name="Picture 5"/>
            <wp:cNvGraphicFramePr>
              <a:graphicFrameLocks noChangeAspect="1"/>
            </wp:cNvGraphicFramePr>
            <a:graphic>
              <a:graphicData uri="http://schemas.openxmlformats.org/drawingml/2006/picture">
                <pic:pic>
                  <pic:nvPicPr>
                    <pic:cNvPr id="0" name="training_curves_stage2.png"/>
                    <pic:cNvPicPr/>
                  </pic:nvPicPr>
                  <pic:blipFill>
                    <a:blip r:embed="rId14"/>
                    <a:stretch>
                      <a:fillRect/>
                    </a:stretch>
                  </pic:blipFill>
                  <pic:spPr>
                    <a:xfrm>
                      <a:off x="0" y="0"/>
                      <a:ext cx="5040000" cy="1832727"/>
                    </a:xfrm>
                    <a:prstGeom prst="rect"/>
                  </pic:spPr>
                </pic:pic>
              </a:graphicData>
            </a:graphic>
          </wp:inline>
        </w:drawing>
      </w:r>
    </w:p>
    <w:p>
      <w:pPr>
        <w:jc w:val="center"/>
      </w:pPr>
      <w:r>
        <w:rPr>
          <w:i/>
          <w:color w:val="606060"/>
          <w:sz w:val="18"/>
        </w:rPr>
        <w:t>Figura 5. Curvas de entrenamiento Etapa 2 (Burst/Scatter/Other).</w:t>
      </w:r>
    </w:p>
    <w:p>
      <w:pPr>
        <w:pStyle w:val="Heading2"/>
      </w:pPr>
      <w:r>
        <w:t>4.4 Resultados</w:t>
      </w:r>
    </w:p>
    <w:p>
      <w:r>
        <w:rPr>
          <w:rFonts w:ascii="Calibri" w:hAnsi="Calibri"/>
          <w:b w:val="0"/>
          <w:i w:val="0"/>
          <w:sz w:val="22"/>
        </w:rPr>
        <w:t>Metricas combinadas sobre 1637 muestras: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2835"/>
            <w:shd w:val="clear" w:color="auto" w:fill="2E74B5"/>
          </w:tcPr>
          <w:p>
            <w:pPr>
              <w:jc w:val="center"/>
            </w:pPr>
            <w:r>
              <w:rPr>
                <w:b/>
                <w:color w:val="FFFFFF"/>
              </w:rPr>
              <w:t>Metrica</w:t>
            </w:r>
          </w:p>
        </w:tc>
        <w:tc>
          <w:tcPr>
            <w:tcW w:type="dxa" w:w="1701"/>
            <w:shd w:val="clear" w:color="auto" w:fill="2E74B5"/>
          </w:tcPr>
          <w:p>
            <w:pPr>
              <w:jc w:val="center"/>
            </w:pPr>
            <w:r>
              <w:rPr>
                <w:b/>
                <w:color w:val="FFFFFF"/>
              </w:rPr>
              <w:t>Valor</w:t>
            </w:r>
          </w:p>
        </w:tc>
      </w:tr>
      <w:tr>
        <w:tc>
          <w:tcPr>
            <w:tcW w:type="dxa" w:w="2835"/>
          </w:tcPr>
          <w:p>
            <w:pPr>
              <w:jc w:val="left"/>
            </w:pPr>
            <w:r>
              <w:t>Accuracy</w:t>
            </w:r>
          </w:p>
        </w:tc>
        <w:tc>
          <w:tcPr>
            <w:tcW w:type="dxa" w:w="1701"/>
          </w:tcPr>
          <w:p>
            <w:pPr>
              <w:jc w:val="center"/>
            </w:pPr>
            <w:r>
              <w:t>69.4%</w:t>
            </w:r>
          </w:p>
        </w:tc>
      </w:tr>
      <w:tr>
        <w:tc>
          <w:tcPr>
            <w:tcW w:type="dxa" w:w="2835"/>
          </w:tcPr>
          <w:p>
            <w:pPr>
              <w:jc w:val="left"/>
            </w:pPr>
            <w:r>
              <w:t>Macro-F1</w:t>
            </w:r>
          </w:p>
        </w:tc>
        <w:tc>
          <w:tcPr>
            <w:tcW w:type="dxa" w:w="1701"/>
          </w:tcPr>
          <w:p>
            <w:pPr>
              <w:jc w:val="center"/>
            </w:pPr>
            <w:r>
              <w:t>0.68</w:t>
            </w:r>
          </w:p>
        </w:tc>
      </w:tr>
      <w:tr>
        <w:tc>
          <w:tcPr>
            <w:tcW w:type="dxa" w:w="2835"/>
          </w:tcPr>
          <w:p>
            <w:pPr>
              <w:jc w:val="left"/>
            </w:pPr>
            <w:r>
              <w:t>F1 Loud</w:t>
            </w:r>
          </w:p>
        </w:tc>
        <w:tc>
          <w:tcPr>
            <w:tcW w:type="dxa" w:w="1701"/>
          </w:tcPr>
          <w:p>
            <w:pPr>
              <w:jc w:val="center"/>
            </w:pPr>
            <w:r>
              <w:t>0.75</w:t>
            </w:r>
          </w:p>
        </w:tc>
      </w:tr>
      <w:tr>
        <w:tc>
          <w:tcPr>
            <w:tcW w:type="dxa" w:w="2835"/>
          </w:tcPr>
          <w:p>
            <w:pPr>
              <w:jc w:val="left"/>
            </w:pPr>
            <w:r>
              <w:t>F1 Burst</w:t>
            </w:r>
          </w:p>
        </w:tc>
        <w:tc>
          <w:tcPr>
            <w:tcW w:type="dxa" w:w="1701"/>
          </w:tcPr>
          <w:p>
            <w:pPr>
              <w:jc w:val="center"/>
            </w:pPr>
            <w:r>
              <w:t>0.70</w:t>
            </w:r>
          </w:p>
        </w:tc>
      </w:tr>
      <w:tr>
        <w:tc>
          <w:tcPr>
            <w:tcW w:type="dxa" w:w="2835"/>
          </w:tcPr>
          <w:p>
            <w:pPr>
              <w:jc w:val="left"/>
            </w:pPr>
            <w:r>
              <w:t>F1 Scatter</w:t>
            </w:r>
          </w:p>
        </w:tc>
        <w:tc>
          <w:tcPr>
            <w:tcW w:type="dxa" w:w="1701"/>
          </w:tcPr>
          <w:p>
            <w:pPr>
              <w:jc w:val="center"/>
            </w:pPr>
            <w:r>
              <w:t>0.77</w:t>
            </w:r>
          </w:p>
        </w:tc>
      </w:tr>
      <w:tr>
        <w:tc>
          <w:tcPr>
            <w:tcW w:type="dxa" w:w="2835"/>
          </w:tcPr>
          <w:p>
            <w:pPr>
              <w:jc w:val="left"/>
            </w:pPr>
            <w:r>
              <w:t>F1 Other</w:t>
            </w:r>
          </w:p>
        </w:tc>
        <w:tc>
          <w:tcPr>
            <w:tcW w:type="dxa" w:w="1701"/>
          </w:tcPr>
          <w:p>
            <w:pPr>
              <w:jc w:val="center"/>
            </w:pPr>
            <w:r>
              <w:t>0.51</w:t>
            </w:r>
          </w:p>
        </w:tc>
      </w:tr>
    </w:tbl>
    <w:p/>
    <w:p>
      <w:r>
        <w:rPr>
          <w:rFonts w:ascii="Calibri" w:hAnsi="Calibri"/>
          <w:b w:val="0"/>
          <w:i w:val="0"/>
          <w:sz w:val="22"/>
        </w:rPr>
        <w:t>Matriz de confusion (filas = clase real, columnas = clase predicha):</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417"/>
            <w:shd w:val="clear" w:color="auto" w:fill="2E74B5"/>
          </w:tcPr>
          <w:p>
            <w:pPr>
              <w:jc w:val="center"/>
            </w:pPr>
            <w:r>
              <w:rPr>
                <w:b/>
                <w:color w:val="FFFFFF"/>
              </w:rPr>
            </w:r>
          </w:p>
        </w:tc>
        <w:tc>
          <w:tcPr>
            <w:tcW w:type="dxa" w:w="1417"/>
            <w:shd w:val="clear" w:color="auto" w:fill="2E74B5"/>
          </w:tcPr>
          <w:p>
            <w:pPr>
              <w:jc w:val="center"/>
            </w:pPr>
            <w:r>
              <w:rPr>
                <w:b/>
                <w:color w:val="FFFFFF"/>
              </w:rPr>
              <w:t>Loud</w:t>
            </w:r>
          </w:p>
        </w:tc>
        <w:tc>
          <w:tcPr>
            <w:tcW w:type="dxa" w:w="1417"/>
            <w:shd w:val="clear" w:color="auto" w:fill="2E74B5"/>
          </w:tcPr>
          <w:p>
            <w:pPr>
              <w:jc w:val="center"/>
            </w:pPr>
            <w:r>
              <w:rPr>
                <w:b/>
                <w:color w:val="FFFFFF"/>
              </w:rPr>
              <w:t>Burst</w:t>
            </w:r>
          </w:p>
        </w:tc>
        <w:tc>
          <w:tcPr>
            <w:tcW w:type="dxa" w:w="1417"/>
            <w:shd w:val="clear" w:color="auto" w:fill="2E74B5"/>
          </w:tcPr>
          <w:p>
            <w:pPr>
              <w:jc w:val="center"/>
            </w:pPr>
            <w:r>
              <w:rPr>
                <w:b/>
                <w:color w:val="FFFFFF"/>
              </w:rPr>
              <w:t>Scatter</w:t>
            </w:r>
          </w:p>
        </w:tc>
        <w:tc>
          <w:tcPr>
            <w:tcW w:type="dxa" w:w="1417"/>
            <w:shd w:val="clear" w:color="auto" w:fill="2E74B5"/>
          </w:tcPr>
          <w:p>
            <w:pPr>
              <w:jc w:val="center"/>
            </w:pPr>
            <w:r>
              <w:rPr>
                <w:b/>
                <w:color w:val="FFFFFF"/>
              </w:rPr>
              <w:t>Other</w:t>
            </w:r>
          </w:p>
        </w:tc>
      </w:tr>
      <w:tr>
        <w:tc>
          <w:tcPr>
            <w:tcW w:type="dxa" w:w="1417"/>
          </w:tcPr>
          <w:p>
            <w:pPr>
              <w:jc w:val="left"/>
            </w:pPr>
            <w:r>
              <w:t>Loud</w:t>
            </w:r>
          </w:p>
        </w:tc>
        <w:tc>
          <w:tcPr>
            <w:tcW w:type="dxa" w:w="1417"/>
          </w:tcPr>
          <w:p>
            <w:pPr>
              <w:jc w:val="center"/>
            </w:pPr>
            <w:r>
              <w:t>235</w:t>
            </w:r>
          </w:p>
        </w:tc>
        <w:tc>
          <w:tcPr>
            <w:tcW w:type="dxa" w:w="1417"/>
          </w:tcPr>
          <w:p>
            <w:pPr>
              <w:jc w:val="center"/>
            </w:pPr>
            <w:r>
              <w:t xml:space="preserve">  4</w:t>
            </w:r>
          </w:p>
        </w:tc>
        <w:tc>
          <w:tcPr>
            <w:tcW w:type="dxa" w:w="1417"/>
          </w:tcPr>
          <w:p>
            <w:pPr>
              <w:jc w:val="center"/>
            </w:pPr>
            <w:r>
              <w:t xml:space="preserve"> 30</w:t>
            </w:r>
          </w:p>
        </w:tc>
        <w:tc>
          <w:tcPr>
            <w:tcW w:type="dxa" w:w="1417"/>
          </w:tcPr>
          <w:p>
            <w:pPr>
              <w:jc w:val="center"/>
            </w:pPr>
            <w:r>
              <w:t xml:space="preserve"> 10</w:t>
            </w:r>
          </w:p>
        </w:tc>
      </w:tr>
      <w:tr>
        <w:tc>
          <w:tcPr>
            <w:tcW w:type="dxa" w:w="1417"/>
          </w:tcPr>
          <w:p>
            <w:pPr>
              <w:jc w:val="left"/>
            </w:pPr>
            <w:r>
              <w:t>Burst</w:t>
            </w:r>
          </w:p>
        </w:tc>
        <w:tc>
          <w:tcPr>
            <w:tcW w:type="dxa" w:w="1417"/>
          </w:tcPr>
          <w:p>
            <w:pPr>
              <w:jc w:val="center"/>
            </w:pPr>
            <w:r>
              <w:t xml:space="preserve"> 44</w:t>
            </w:r>
          </w:p>
        </w:tc>
        <w:tc>
          <w:tcPr>
            <w:tcW w:type="dxa" w:w="1417"/>
          </w:tcPr>
          <w:p>
            <w:pPr>
              <w:jc w:val="center"/>
            </w:pPr>
            <w:r>
              <w:t>262</w:t>
            </w:r>
          </w:p>
        </w:tc>
        <w:tc>
          <w:tcPr>
            <w:tcW w:type="dxa" w:w="1417"/>
          </w:tcPr>
          <w:p>
            <w:pPr>
              <w:jc w:val="center"/>
            </w:pPr>
            <w:r>
              <w:t xml:space="preserve"> 32</w:t>
            </w:r>
          </w:p>
        </w:tc>
        <w:tc>
          <w:tcPr>
            <w:tcW w:type="dxa" w:w="1417"/>
          </w:tcPr>
          <w:p>
            <w:pPr>
              <w:jc w:val="center"/>
            </w:pPr>
            <w:r>
              <w:t xml:space="preserve"> 58</w:t>
            </w:r>
          </w:p>
        </w:tc>
      </w:tr>
      <w:tr>
        <w:tc>
          <w:tcPr>
            <w:tcW w:type="dxa" w:w="1417"/>
          </w:tcPr>
          <w:p>
            <w:pPr>
              <w:jc w:val="left"/>
            </w:pPr>
            <w:r>
              <w:t>Scatter</w:t>
            </w:r>
          </w:p>
        </w:tc>
        <w:tc>
          <w:tcPr>
            <w:tcW w:type="dxa" w:w="1417"/>
          </w:tcPr>
          <w:p>
            <w:pPr>
              <w:jc w:val="center"/>
            </w:pPr>
            <w:r>
              <w:t xml:space="preserve"> 23</w:t>
            </w:r>
          </w:p>
        </w:tc>
        <w:tc>
          <w:tcPr>
            <w:tcW w:type="dxa" w:w="1417"/>
          </w:tcPr>
          <w:p>
            <w:pPr>
              <w:jc w:val="center"/>
            </w:pPr>
            <w:r>
              <w:t xml:space="preserve"> 26</w:t>
            </w:r>
          </w:p>
        </w:tc>
        <w:tc>
          <w:tcPr>
            <w:tcW w:type="dxa" w:w="1417"/>
          </w:tcPr>
          <w:p>
            <w:pPr>
              <w:jc w:val="center"/>
            </w:pPr>
            <w:r>
              <w:t>462</w:t>
            </w:r>
          </w:p>
        </w:tc>
        <w:tc>
          <w:tcPr>
            <w:tcW w:type="dxa" w:w="1417"/>
          </w:tcPr>
          <w:p>
            <w:pPr>
              <w:jc w:val="center"/>
            </w:pPr>
            <w:r>
              <w:t xml:space="preserve"> 43</w:t>
            </w:r>
          </w:p>
        </w:tc>
      </w:tr>
      <w:tr>
        <w:tc>
          <w:tcPr>
            <w:tcW w:type="dxa" w:w="1417"/>
          </w:tcPr>
          <w:p>
            <w:pPr>
              <w:jc w:val="left"/>
            </w:pPr>
            <w:r>
              <w:t>Other</w:t>
            </w:r>
          </w:p>
        </w:tc>
        <w:tc>
          <w:tcPr>
            <w:tcW w:type="dxa" w:w="1417"/>
          </w:tcPr>
          <w:p>
            <w:pPr>
              <w:jc w:val="center"/>
            </w:pPr>
            <w:r>
              <w:t xml:space="preserve"> 47</w:t>
            </w:r>
          </w:p>
        </w:tc>
        <w:tc>
          <w:tcPr>
            <w:tcW w:type="dxa" w:w="1417"/>
          </w:tcPr>
          <w:p>
            <w:pPr>
              <w:jc w:val="center"/>
            </w:pPr>
            <w:r>
              <w:t xml:space="preserve"> 61</w:t>
            </w:r>
          </w:p>
        </w:tc>
        <w:tc>
          <w:tcPr>
            <w:tcW w:type="dxa" w:w="1417"/>
          </w:tcPr>
          <w:p>
            <w:pPr>
              <w:jc w:val="center"/>
            </w:pPr>
            <w:r>
              <w:t>123</w:t>
            </w:r>
          </w:p>
        </w:tc>
        <w:tc>
          <w:tcPr>
            <w:tcW w:type="dxa" w:w="1417"/>
          </w:tcPr>
          <w:p>
            <w:pPr>
              <w:jc w:val="center"/>
            </w:pPr>
            <w:r>
              <w:t>177</w:t>
            </w:r>
          </w:p>
        </w:tc>
      </w:tr>
    </w:tbl>
    <w:p/>
    <w:p>
      <w:pPr>
        <w:jc w:val="center"/>
      </w:pPr>
      <w:r>
        <w:drawing>
          <wp:inline xmlns:a="http://schemas.openxmlformats.org/drawingml/2006/main" xmlns:pic="http://schemas.openxmlformats.org/drawingml/2006/picture">
            <wp:extent cx="5040000" cy="4200000"/>
            <wp:docPr id="6" name="Picture 6"/>
            <wp:cNvGraphicFramePr>
              <a:graphicFrameLocks noChangeAspect="1"/>
            </wp:cNvGraphicFramePr>
            <a:graphic>
              <a:graphicData uri="http://schemas.openxmlformats.org/drawingml/2006/picture">
                <pic:pic>
                  <pic:nvPicPr>
                    <pic:cNvPr id="0" name="confusion_matrix_v3.png"/>
                    <pic:cNvPicPr/>
                  </pic:nvPicPr>
                  <pic:blipFill>
                    <a:blip r:embed="rId15"/>
                    <a:stretch>
                      <a:fillRect/>
                    </a:stretch>
                  </pic:blipFill>
                  <pic:spPr>
                    <a:xfrm>
                      <a:off x="0" y="0"/>
                      <a:ext cx="5040000" cy="4200000"/>
                    </a:xfrm>
                    <a:prstGeom prst="rect"/>
                  </pic:spPr>
                </pic:pic>
              </a:graphicData>
            </a:graphic>
          </wp:inline>
        </w:drawing>
      </w:r>
    </w:p>
    <w:p>
      <w:pPr>
        <w:jc w:val="center"/>
      </w:pPr>
      <w:r>
        <w:rPr>
          <w:i/>
          <w:color w:val="606060"/>
          <w:sz w:val="18"/>
        </w:rPr>
        <w:t>Figura 6. Matriz de confusion M2 v3 (clasificador jerarquico).</w:t>
      </w:r>
    </w:p>
    <w:p>
      <w:pPr>
        <w:pStyle w:val="Heading2"/>
      </w:pPr>
      <w:r>
        <w:t>4.5 Evolucion del modelo</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850"/>
            <w:shd w:val="clear" w:color="auto" w:fill="2E74B5"/>
          </w:tcPr>
          <w:p>
            <w:pPr>
              <w:jc w:val="center"/>
            </w:pPr>
            <w:r>
              <w:rPr>
                <w:b/>
                <w:color w:val="FFFFFF"/>
              </w:rPr>
              <w:t>Version</w:t>
            </w:r>
          </w:p>
        </w:tc>
        <w:tc>
          <w:tcPr>
            <w:tcW w:type="dxa" w:w="1247"/>
            <w:shd w:val="clear" w:color="auto" w:fill="2E74B5"/>
          </w:tcPr>
          <w:p>
            <w:pPr>
              <w:jc w:val="center"/>
            </w:pPr>
            <w:r>
              <w:rPr>
                <w:b/>
                <w:color w:val="FFFFFF"/>
              </w:rPr>
              <w:t>Accuracy</w:t>
            </w:r>
          </w:p>
        </w:tc>
        <w:tc>
          <w:tcPr>
            <w:tcW w:type="dxa" w:w="1247"/>
            <w:shd w:val="clear" w:color="auto" w:fill="2E74B5"/>
          </w:tcPr>
          <w:p>
            <w:pPr>
              <w:jc w:val="center"/>
            </w:pPr>
            <w:r>
              <w:rPr>
                <w:b/>
                <w:color w:val="FFFFFF"/>
              </w:rPr>
              <w:t>Macro-F1</w:t>
            </w:r>
          </w:p>
        </w:tc>
        <w:tc>
          <w:tcPr>
            <w:tcW w:type="dxa" w:w="1984"/>
            <w:shd w:val="clear" w:color="auto" w:fill="2E74B5"/>
          </w:tcPr>
          <w:p>
            <w:pPr>
              <w:jc w:val="center"/>
            </w:pPr>
            <w:r>
              <w:rPr>
                <w:b/>
                <w:color w:val="FFFFFF"/>
              </w:rPr>
              <w:t>Muestras</w:t>
            </w:r>
          </w:p>
        </w:tc>
        <w:tc>
          <w:tcPr>
            <w:tcW w:type="dxa" w:w="2551"/>
            <w:shd w:val="clear" w:color="auto" w:fill="2E74B5"/>
          </w:tcPr>
          <w:p>
            <w:pPr>
              <w:jc w:val="center"/>
            </w:pPr>
            <w:r>
              <w:rPr>
                <w:b/>
                <w:color w:val="FFFFFF"/>
              </w:rPr>
              <w:t>Cambio principal</w:t>
            </w:r>
          </w:p>
        </w:tc>
      </w:tr>
      <w:tr>
        <w:tc>
          <w:tcPr>
            <w:tcW w:type="dxa" w:w="850"/>
          </w:tcPr>
          <w:p>
            <w:pPr>
              <w:jc w:val="left"/>
            </w:pPr>
            <w:r>
              <w:t>v1</w:t>
            </w:r>
          </w:p>
        </w:tc>
        <w:tc>
          <w:tcPr>
            <w:tcW w:type="dxa" w:w="1247"/>
          </w:tcPr>
          <w:p>
            <w:pPr>
              <w:jc w:val="center"/>
            </w:pPr>
            <w:r>
              <w:t>74.6%</w:t>
            </w:r>
          </w:p>
        </w:tc>
        <w:tc>
          <w:tcPr>
            <w:tcW w:type="dxa" w:w="1247"/>
          </w:tcPr>
          <w:p>
            <w:pPr>
              <w:jc w:val="center"/>
            </w:pPr>
            <w:r>
              <w:t>0.67</w:t>
            </w:r>
          </w:p>
        </w:tc>
        <w:tc>
          <w:tcPr>
            <w:tcW w:type="dxa" w:w="1984"/>
          </w:tcPr>
          <w:p>
            <w:pPr>
              <w:jc w:val="left"/>
            </w:pPr>
            <w:r>
              <w:t>500 (solo H1/O3a)</w:t>
            </w:r>
          </w:p>
        </w:tc>
        <w:tc>
          <w:tcPr>
            <w:tcW w:type="dxa" w:w="2551"/>
          </w:tcPr>
          <w:p>
            <w:pPr>
              <w:jc w:val="left"/>
            </w:pPr>
            <w:r>
              <w:t>Baseline, 5 reglas flat</w:t>
            </w:r>
          </w:p>
        </w:tc>
      </w:tr>
      <w:tr>
        <w:tc>
          <w:tcPr>
            <w:tcW w:type="dxa" w:w="850"/>
          </w:tcPr>
          <w:p>
            <w:pPr>
              <w:jc w:val="left"/>
            </w:pPr>
            <w:r>
              <w:t>v2</w:t>
            </w:r>
          </w:p>
        </w:tc>
        <w:tc>
          <w:tcPr>
            <w:tcW w:type="dxa" w:w="1247"/>
          </w:tcPr>
          <w:p>
            <w:pPr>
              <w:jc w:val="center"/>
            </w:pPr>
            <w:r>
              <w:t>51.8%</w:t>
            </w:r>
          </w:p>
        </w:tc>
        <w:tc>
          <w:tcPr>
            <w:tcW w:type="dxa" w:w="1247"/>
          </w:tcPr>
          <w:p>
            <w:pPr>
              <w:jc w:val="center"/>
            </w:pPr>
            <w:r>
              <w:t>0.54</w:t>
            </w:r>
          </w:p>
        </w:tc>
        <w:tc>
          <w:tcPr>
            <w:tcW w:type="dxa" w:w="1984"/>
          </w:tcPr>
          <w:p>
            <w:pPr>
              <w:jc w:val="left"/>
            </w:pPr>
            <w:r>
              <w:t>1637 (multi-detector)</w:t>
            </w:r>
          </w:p>
        </w:tc>
        <w:tc>
          <w:tcPr>
            <w:tcW w:type="dxa" w:w="2551"/>
          </w:tcPr>
          <w:p>
            <w:pPr>
              <w:jc w:val="left"/>
            </w:pPr>
            <w:r>
              <w:t>Datos heterogeneos, 5 reglas insuficientes</w:t>
            </w:r>
          </w:p>
        </w:tc>
      </w:tr>
      <w:tr>
        <w:tc>
          <w:tcPr>
            <w:tcW w:type="dxa" w:w="850"/>
          </w:tcPr>
          <w:p>
            <w:pPr>
              <w:jc w:val="left"/>
            </w:pPr>
            <w:r>
              <w:t>v3</w:t>
            </w:r>
          </w:p>
        </w:tc>
        <w:tc>
          <w:tcPr>
            <w:tcW w:type="dxa" w:w="1247"/>
          </w:tcPr>
          <w:p>
            <w:pPr>
              <w:jc w:val="center"/>
            </w:pPr>
            <w:r>
              <w:t>69.4%</w:t>
            </w:r>
          </w:p>
        </w:tc>
        <w:tc>
          <w:tcPr>
            <w:tcW w:type="dxa" w:w="1247"/>
          </w:tcPr>
          <w:p>
            <w:pPr>
              <w:jc w:val="center"/>
            </w:pPr>
            <w:r>
              <w:t>0.68</w:t>
            </w:r>
          </w:p>
        </w:tc>
        <w:tc>
          <w:tcPr>
            <w:tcW w:type="dxa" w:w="1984"/>
          </w:tcPr>
          <w:p>
            <w:pPr>
              <w:jc w:val="left"/>
            </w:pPr>
            <w:r>
              <w:t>1637 (multi-detector)</w:t>
            </w:r>
          </w:p>
        </w:tc>
        <w:tc>
          <w:tcPr>
            <w:tcW w:type="dxa" w:w="2551"/>
          </w:tcPr>
          <w:p>
            <w:pPr>
              <w:jc w:val="left"/>
            </w:pPr>
            <w:r>
              <w:t>Jerarquico 2 etapas, 15 reglas, norm por grupo</w:t>
            </w:r>
          </w:p>
        </w:tc>
      </w:tr>
    </w:tbl>
    <w:p>
      <w:r>
        <w:br w:type="page"/>
      </w:r>
    </w:p>
    <w:p>
      <w:pPr>
        <w:pStyle w:val="Heading1"/>
      </w:pPr>
      <w:r>
        <w:t>5. Reglas Extraidas (Interpretabilidad)</w:t>
      </w:r>
    </w:p>
    <w:p>
      <w:pPr>
        <w:pStyle w:val="Heading2"/>
      </w:pPr>
      <w:r>
        <w:t>5.1 Etapa 1 -- Deteccion de glitches Loud</w:t>
      </w:r>
    </w:p>
    <w:p>
      <w:pPr>
        <w:pStyle w:val="NoSpacing"/>
      </w:pPr>
      <w:r>
        <w:rPr>
          <w:rFonts w:ascii="Courier New" w:hAnsi="Courier New"/>
          <w:sz w:val="16"/>
        </w:rPr>
        <w:t>R00: SI  peak_freq ES medio  Y  ae_score ES medio  Y  log_energy ES medio  Y  snr ES alto  Y  duration ES medio  Y  bandwidth ES bajo</w:t>
      </w:r>
    </w:p>
    <w:p>
      <w:pPr>
        <w:pStyle w:val="NoSpacing"/>
      </w:pPr>
      <w:r>
        <w:rPr>
          <w:rFonts w:ascii="Courier New" w:hAnsi="Courier New"/>
          <w:b/>
          <w:sz w:val="16"/>
        </w:rPr>
        <w:t xml:space="preserve">      ENTONCES Loud</w:t>
      </w:r>
    </w:p>
    <w:p/>
    <w:p>
      <w:pPr>
        <w:pStyle w:val="NoSpacing"/>
      </w:pPr>
      <w:r>
        <w:rPr>
          <w:rFonts w:ascii="Courier New" w:hAnsi="Courier New"/>
          <w:sz w:val="16"/>
        </w:rPr>
        <w:t>R01: SI  peak_freq ES alto  Y  ae_score ES medio  Y  log_energy ES alto  Y  snr ES medio  Y  duration ES bajo  Y  bandwidth ES medio</w:t>
      </w:r>
    </w:p>
    <w:p>
      <w:pPr>
        <w:pStyle w:val="NoSpacing"/>
      </w:pPr>
      <w:r>
        <w:rPr>
          <w:rFonts w:ascii="Courier New" w:hAnsi="Courier New"/>
          <w:b/>
          <w:sz w:val="16"/>
        </w:rPr>
        <w:t xml:space="preserve">      ENTONCES Loud</w:t>
      </w:r>
    </w:p>
    <w:p/>
    <w:p>
      <w:pPr>
        <w:pStyle w:val="NoSpacing"/>
      </w:pPr>
      <w:r>
        <w:rPr>
          <w:rFonts w:ascii="Courier New" w:hAnsi="Courier New"/>
          <w:sz w:val="16"/>
        </w:rPr>
        <w:t>R02: SI  peak_freq ES medio  Y  ae_score ES medio  Y  log_energy ES medio  Y  snr ES bajo  Y  duration ES alto  Y  bandwidth ES bajo</w:t>
      </w:r>
    </w:p>
    <w:p>
      <w:pPr>
        <w:pStyle w:val="NoSpacing"/>
      </w:pPr>
      <w:r>
        <w:rPr>
          <w:rFonts w:ascii="Courier New" w:hAnsi="Courier New"/>
          <w:b/>
          <w:sz w:val="16"/>
        </w:rPr>
        <w:t xml:space="preserve">      ENTONCES Rest</w:t>
      </w:r>
    </w:p>
    <w:p/>
    <w:p>
      <w:pPr>
        <w:pStyle w:val="NoSpacing"/>
      </w:pPr>
      <w:r>
        <w:rPr>
          <w:rFonts w:ascii="Courier New" w:hAnsi="Courier New"/>
          <w:sz w:val="16"/>
        </w:rPr>
        <w:t>R03: SI  peak_freq ES bajo  Y  ae_score ES bajo  Y  log_energy ES bajo  Y  snr ES medio  Y  duration ES medio  Y  bandwidth ES medio</w:t>
      </w:r>
    </w:p>
    <w:p>
      <w:pPr>
        <w:pStyle w:val="NoSpacing"/>
      </w:pPr>
      <w:r>
        <w:rPr>
          <w:rFonts w:ascii="Courier New" w:hAnsi="Courier New"/>
          <w:b/>
          <w:sz w:val="16"/>
        </w:rPr>
        <w:t xml:space="preserve">      ENTONCES Rest</w:t>
      </w:r>
    </w:p>
    <w:p/>
    <w:p>
      <w:pPr>
        <w:pStyle w:val="NoSpacing"/>
      </w:pPr>
      <w:r>
        <w:rPr>
          <w:rFonts w:ascii="Courier New" w:hAnsi="Courier New"/>
          <w:sz w:val="16"/>
        </w:rPr>
        <w:t>R04: SI  peak_freq ES alto  Y  ae_score ES alto  Y  log_energy ES alto  Y  snr ES alto  Y  duration ES medio  Y  bandwidth ES alto</w:t>
      </w:r>
    </w:p>
    <w:p>
      <w:pPr>
        <w:pStyle w:val="NoSpacing"/>
      </w:pPr>
      <w:r>
        <w:rPr>
          <w:rFonts w:ascii="Courier New" w:hAnsi="Courier New"/>
          <w:b/>
          <w:sz w:val="16"/>
        </w:rPr>
        <w:t xml:space="preserve">      ENTONCES Loud</w:t>
      </w:r>
    </w:p>
    <w:p/>
    <w:p>
      <w:pPr>
        <w:pStyle w:val="NoSpacing"/>
      </w:pPr>
      <w:r>
        <w:rPr>
          <w:rFonts w:ascii="Courier New" w:hAnsi="Courier New"/>
          <w:sz w:val="16"/>
        </w:rPr>
        <w:t>R05: SI  peak_freq ES bajo  Y  ae_score ES bajo  Y  log_energy ES bajo  Y  snr ES bajo  Y  duration ES alto  Y  bandwidth ES alto</w:t>
      </w:r>
    </w:p>
    <w:p>
      <w:pPr>
        <w:pStyle w:val="NoSpacing"/>
      </w:pPr>
      <w:r>
        <w:rPr>
          <w:rFonts w:ascii="Courier New" w:hAnsi="Courier New"/>
          <w:b/>
          <w:sz w:val="16"/>
        </w:rPr>
        <w:t xml:space="preserve">      ENTONCES Loud</w:t>
      </w:r>
    </w:p>
    <w:p/>
    <w:p>
      <w:pPr>
        <w:pStyle w:val="NoSpacing"/>
      </w:pPr>
      <w:r>
        <w:rPr>
          <w:rFonts w:ascii="Courier New" w:hAnsi="Courier New"/>
          <w:sz w:val="16"/>
        </w:rPr>
        <w:t>R06: SI  peak_freq ES medio  Y  ae_score ES alto  Y  log_energy ES medio  Y  snr ES medio  Y  duration ES bajo  Y  bandwidth ES medio</w:t>
      </w:r>
    </w:p>
    <w:p>
      <w:pPr>
        <w:pStyle w:val="NoSpacing"/>
      </w:pPr>
      <w:r>
        <w:rPr>
          <w:rFonts w:ascii="Courier New" w:hAnsi="Courier New"/>
          <w:b/>
          <w:sz w:val="16"/>
        </w:rPr>
        <w:t xml:space="preserve">      ENTONCES Loud</w:t>
      </w:r>
    </w:p>
    <w:p/>
    <w:p>
      <w:pPr>
        <w:jc w:val="center"/>
      </w:pPr>
      <w:r>
        <w:drawing>
          <wp:inline xmlns:a="http://schemas.openxmlformats.org/drawingml/2006/main" xmlns:pic="http://schemas.openxmlformats.org/drawingml/2006/picture">
            <wp:extent cx="5040000" cy="2240000"/>
            <wp:docPr id="7" name="Picture 7"/>
            <wp:cNvGraphicFramePr>
              <a:graphicFrameLocks noChangeAspect="1"/>
            </wp:cNvGraphicFramePr>
            <a:graphic>
              <a:graphicData uri="http://schemas.openxmlformats.org/drawingml/2006/picture">
                <pic:pic>
                  <pic:nvPicPr>
                    <pic:cNvPr id="0" name="membership_functions_stage1.png"/>
                    <pic:cNvPicPr/>
                  </pic:nvPicPr>
                  <pic:blipFill>
                    <a:blip r:embed="rId16"/>
                    <a:stretch>
                      <a:fillRect/>
                    </a:stretch>
                  </pic:blipFill>
                  <pic:spPr>
                    <a:xfrm>
                      <a:off x="0" y="0"/>
                      <a:ext cx="5040000" cy="2240000"/>
                    </a:xfrm>
                    <a:prstGeom prst="rect"/>
                  </pic:spPr>
                </pic:pic>
              </a:graphicData>
            </a:graphic>
          </wp:inline>
        </w:drawing>
      </w:r>
    </w:p>
    <w:p>
      <w:pPr>
        <w:jc w:val="center"/>
      </w:pPr>
      <w:r>
        <w:rPr>
          <w:i/>
          <w:color w:val="606060"/>
          <w:sz w:val="18"/>
        </w:rPr>
        <w:t>Figura 7. Funciones de pertenencia GBellMF -- Etapa 1.</w:t>
      </w:r>
    </w:p>
    <w:p>
      <w:pPr>
        <w:pStyle w:val="Heading2"/>
      </w:pPr>
      <w:r>
        <w:t>5.2 Etapa 2 -- Clasificacion Burst/Scatter/Other</w:t>
      </w:r>
    </w:p>
    <w:p>
      <w:pPr>
        <w:pStyle w:val="NoSpacing"/>
      </w:pPr>
      <w:r>
        <w:rPr>
          <w:rFonts w:ascii="Courier New" w:hAnsi="Courier New"/>
          <w:sz w:val="16"/>
        </w:rPr>
        <w:t>R00: SI  peak_freq ES medio  Y  ae_score ES bajo  Y  log_energy ES medio  Y  snr ES alto  Y  duration ES bajo  Y  bandwidth ES bajo</w:t>
      </w:r>
    </w:p>
    <w:p>
      <w:pPr>
        <w:pStyle w:val="NoSpacing"/>
      </w:pPr>
      <w:r>
        <w:rPr>
          <w:rFonts w:ascii="Courier New" w:hAnsi="Courier New"/>
          <w:b/>
          <w:sz w:val="16"/>
        </w:rPr>
        <w:t xml:space="preserve">      ENTONCES Other</w:t>
      </w:r>
    </w:p>
    <w:p/>
    <w:p>
      <w:pPr>
        <w:pStyle w:val="NoSpacing"/>
      </w:pPr>
      <w:r>
        <w:rPr>
          <w:rFonts w:ascii="Courier New" w:hAnsi="Courier New"/>
          <w:sz w:val="16"/>
        </w:rPr>
        <w:t>R01: SI  peak_freq ES bajo  Y  ae_score ES bajo  Y  log_energy ES bajo  Y  snr ES bajo  Y  duration ES medio  Y  bandwidth ES medio</w:t>
      </w:r>
    </w:p>
    <w:p>
      <w:pPr>
        <w:pStyle w:val="NoSpacing"/>
      </w:pPr>
      <w:r>
        <w:rPr>
          <w:rFonts w:ascii="Courier New" w:hAnsi="Courier New"/>
          <w:b/>
          <w:sz w:val="16"/>
        </w:rPr>
        <w:t xml:space="preserve">      ENTONCES Scatter</w:t>
      </w:r>
    </w:p>
    <w:p/>
    <w:p>
      <w:pPr>
        <w:pStyle w:val="NoSpacing"/>
      </w:pPr>
      <w:r>
        <w:rPr>
          <w:rFonts w:ascii="Courier New" w:hAnsi="Courier New"/>
          <w:sz w:val="16"/>
        </w:rPr>
        <w:t>R02: SI  peak_freq ES bajo  Y  ae_score ES medio  Y  log_energy ES medio  Y  snr ES medio  Y  duration ES alto  Y  bandwidth ES bajo</w:t>
      </w:r>
    </w:p>
    <w:p>
      <w:pPr>
        <w:pStyle w:val="NoSpacing"/>
      </w:pPr>
      <w:r>
        <w:rPr>
          <w:rFonts w:ascii="Courier New" w:hAnsi="Courier New"/>
          <w:b/>
          <w:sz w:val="16"/>
        </w:rPr>
        <w:t xml:space="preserve">      ENTONCES Scatter</w:t>
      </w:r>
    </w:p>
    <w:p/>
    <w:p>
      <w:pPr>
        <w:pStyle w:val="NoSpacing"/>
      </w:pPr>
      <w:r>
        <w:rPr>
          <w:rFonts w:ascii="Courier New" w:hAnsi="Courier New"/>
          <w:sz w:val="16"/>
        </w:rPr>
        <w:t>R03: SI  peak_freq ES medio  Y  ae_score ES alto  Y  log_energy ES alto  Y  snr ES medio  Y  duration ES bajo  Y  bandwidth ES alto</w:t>
      </w:r>
    </w:p>
    <w:p>
      <w:pPr>
        <w:pStyle w:val="NoSpacing"/>
      </w:pPr>
      <w:r>
        <w:rPr>
          <w:rFonts w:ascii="Courier New" w:hAnsi="Courier New"/>
          <w:b/>
          <w:sz w:val="16"/>
        </w:rPr>
        <w:t xml:space="preserve">      ENTONCES Other</w:t>
      </w:r>
    </w:p>
    <w:p/>
    <w:p>
      <w:pPr>
        <w:pStyle w:val="NoSpacing"/>
      </w:pPr>
      <w:r>
        <w:rPr>
          <w:rFonts w:ascii="Courier New" w:hAnsi="Courier New"/>
          <w:sz w:val="16"/>
        </w:rPr>
        <w:t>R04: SI  peak_freq ES alto  Y  ae_score ES bajo  Y  log_energy ES bajo  Y  snr ES bajo  Y  duration ES bajo  Y  bandwidth ES medio</w:t>
      </w:r>
    </w:p>
    <w:p>
      <w:pPr>
        <w:pStyle w:val="NoSpacing"/>
      </w:pPr>
      <w:r>
        <w:rPr>
          <w:rFonts w:ascii="Courier New" w:hAnsi="Courier New"/>
          <w:b/>
          <w:sz w:val="16"/>
        </w:rPr>
        <w:t xml:space="preserve">      ENTONCES Scatter</w:t>
      </w:r>
    </w:p>
    <w:p/>
    <w:p>
      <w:pPr>
        <w:pStyle w:val="NoSpacing"/>
      </w:pPr>
      <w:r>
        <w:rPr>
          <w:rFonts w:ascii="Courier New" w:hAnsi="Courier New"/>
          <w:sz w:val="16"/>
        </w:rPr>
        <w:t>R05: SI  peak_freq ES bajo  Y  ae_score ES medio  Y  log_energy ES bajo  Y  snr ES alto  Y  duration ES alto  Y  bandwidth ES alto</w:t>
      </w:r>
    </w:p>
    <w:p>
      <w:pPr>
        <w:pStyle w:val="NoSpacing"/>
      </w:pPr>
      <w:r>
        <w:rPr>
          <w:rFonts w:ascii="Courier New" w:hAnsi="Courier New"/>
          <w:b/>
          <w:sz w:val="16"/>
        </w:rPr>
        <w:t xml:space="preserve">      ENTONCES Scatter</w:t>
      </w:r>
    </w:p>
    <w:p/>
    <w:p>
      <w:pPr>
        <w:pStyle w:val="NoSpacing"/>
      </w:pPr>
      <w:r>
        <w:rPr>
          <w:rFonts w:ascii="Courier New" w:hAnsi="Courier New"/>
          <w:sz w:val="16"/>
        </w:rPr>
        <w:t>R06: SI  peak_freq ES alto  Y  ae_score ES alto  Y  log_energy ES alto  Y  snr ES alto  Y  duration ES medio  Y  bandwidth ES bajo</w:t>
      </w:r>
    </w:p>
    <w:p>
      <w:pPr>
        <w:pStyle w:val="NoSpacing"/>
      </w:pPr>
      <w:r>
        <w:rPr>
          <w:rFonts w:ascii="Courier New" w:hAnsi="Courier New"/>
          <w:b/>
          <w:sz w:val="16"/>
        </w:rPr>
        <w:t xml:space="preserve">      ENTONCES Other</w:t>
      </w:r>
    </w:p>
    <w:p/>
    <w:p>
      <w:pPr>
        <w:pStyle w:val="NoSpacing"/>
      </w:pPr>
      <w:r>
        <w:rPr>
          <w:rFonts w:ascii="Courier New" w:hAnsi="Courier New"/>
          <w:sz w:val="16"/>
        </w:rPr>
        <w:t>R07: SI  peak_freq ES alto  Y  ae_score ES alto  Y  log_energy ES alto  Y  snr ES bajo  Y  duration ES alto  Y  bandwidth ES alto</w:t>
      </w:r>
    </w:p>
    <w:p>
      <w:pPr>
        <w:pStyle w:val="NoSpacing"/>
      </w:pPr>
      <w:r>
        <w:rPr>
          <w:rFonts w:ascii="Courier New" w:hAnsi="Courier New"/>
          <w:b/>
          <w:sz w:val="16"/>
        </w:rPr>
        <w:t xml:space="preserve">      ENTONCES Other</w:t>
      </w:r>
    </w:p>
    <w:p/>
    <w:p>
      <w:pPr>
        <w:jc w:val="center"/>
      </w:pPr>
      <w:r>
        <w:drawing>
          <wp:inline xmlns:a="http://schemas.openxmlformats.org/drawingml/2006/main" xmlns:pic="http://schemas.openxmlformats.org/drawingml/2006/picture">
            <wp:extent cx="5040000" cy="2240000"/>
            <wp:docPr id="8" name="Picture 8"/>
            <wp:cNvGraphicFramePr>
              <a:graphicFrameLocks noChangeAspect="1"/>
            </wp:cNvGraphicFramePr>
            <a:graphic>
              <a:graphicData uri="http://schemas.openxmlformats.org/drawingml/2006/picture">
                <pic:pic>
                  <pic:nvPicPr>
                    <pic:cNvPr id="0" name="membership_functions_stage2.png"/>
                    <pic:cNvPicPr/>
                  </pic:nvPicPr>
                  <pic:blipFill>
                    <a:blip r:embed="rId17"/>
                    <a:stretch>
                      <a:fillRect/>
                    </a:stretch>
                  </pic:blipFill>
                  <pic:spPr>
                    <a:xfrm>
                      <a:off x="0" y="0"/>
                      <a:ext cx="5040000" cy="2240000"/>
                    </a:xfrm>
                    <a:prstGeom prst="rect"/>
                  </pic:spPr>
                </pic:pic>
              </a:graphicData>
            </a:graphic>
          </wp:inline>
        </w:drawing>
      </w:r>
    </w:p>
    <w:p>
      <w:pPr>
        <w:jc w:val="center"/>
      </w:pPr>
      <w:r>
        <w:rPr>
          <w:i/>
          <w:color w:val="606060"/>
          <w:sz w:val="18"/>
        </w:rPr>
        <w:t>Figura 8. Funciones de pertenencia GBellMF -- Etapa 2.</w:t>
      </w:r>
    </w:p>
    <w:p>
      <w:pPr>
        <w:pStyle w:val="Heading2"/>
      </w:pPr>
      <w:r>
        <w:t>5.3 Interpretacion fisica</w:t>
      </w:r>
    </w:p>
    <w:p>
      <w:r>
        <w:rPr>
          <w:rFonts w:ascii="Calibri" w:hAnsi="Calibri"/>
          <w:b/>
          <w:i w:val="0"/>
          <w:sz w:val="22"/>
        </w:rPr>
        <w:t>Loud (Extremely_Loud, Koi_Fish)</w:t>
      </w:r>
    </w:p>
    <w:p>
      <w:r>
        <w:rPr>
          <w:rFonts w:ascii="Calibri" w:hAnsi="Calibri"/>
          <w:b w:val="0"/>
          <w:i w:val="0"/>
          <w:sz w:val="22"/>
        </w:rPr>
        <w:t>Se caracterizan por SNR alto y ae_score alto. M1 ya los detecta por su elevado error de reconstruccion; M2 confirma la clasificacion en la Etapa 1 con 90.3 % de accuracy.</w:t>
      </w:r>
    </w:p>
    <w:p>
      <w:r>
        <w:rPr>
          <w:rFonts w:ascii="Calibri" w:hAnsi="Calibri"/>
          <w:b/>
          <w:i w:val="0"/>
          <w:sz w:val="22"/>
        </w:rPr>
        <w:t>Scatter (Scattered_Light, Fast_Scattering)</w:t>
      </w:r>
    </w:p>
    <w:p>
      <w:r>
        <w:rPr>
          <w:rFonts w:ascii="Calibri" w:hAnsi="Calibri"/>
          <w:b w:val="0"/>
          <w:i w:val="0"/>
          <w:sz w:val="22"/>
        </w:rPr>
        <w:t>Se identifican por duration alta y bandwidth alta, consistente con la fenomenologia de dispersion de luz estocastica que produce senales prolongadas de espectro ancho en los interferometros.</w:t>
      </w:r>
    </w:p>
    <w:p>
      <w:r>
        <w:rPr>
          <w:rFonts w:ascii="Calibri" w:hAnsi="Calibri"/>
          <w:b/>
          <w:i w:val="0"/>
          <w:sz w:val="22"/>
        </w:rPr>
        <w:t>Burst (Low_Frequency_Burst, Blip)</w:t>
      </w:r>
    </w:p>
    <w:p>
      <w:r>
        <w:rPr>
          <w:rFonts w:ascii="Calibri" w:hAnsi="Calibri"/>
          <w:b w:val="0"/>
          <w:i w:val="0"/>
          <w:sz w:val="22"/>
        </w:rPr>
        <w:t>Presentan peak_frequency baja y bandwidth baja: eventos transitorios de banda estrecha concentrados en frecuencias bajas.</w:t>
      </w:r>
    </w:p>
    <w:p>
      <w:r>
        <w:rPr>
          <w:rFonts w:ascii="Calibri" w:hAnsi="Calibri"/>
          <w:b/>
          <w:i w:val="0"/>
          <w:sz w:val="22"/>
        </w:rPr>
        <w:t>Other</w:t>
      </w:r>
    </w:p>
    <w:p>
      <w:r>
        <w:rPr>
          <w:rFonts w:ascii="Calibri" w:hAnsi="Calibri"/>
          <w:b w:val="0"/>
          <w:i w:val="0"/>
          <w:sz w:val="22"/>
        </w:rPr>
        <w:t>Agrupa anomalias diversas cuya firma espectral no encaja en las otras categorias. Su F1 mas bajo (0.51) refleja esta heterogeneidad inherente.</w:t>
      </w:r>
    </w:p>
    <w:p>
      <w:r>
        <w:rPr>
          <w:rFonts w:ascii="Calibri" w:hAnsi="Calibri"/>
          <w:b w:val="0"/>
          <w:i w:val="0"/>
          <w:sz w:val="22"/>
        </w:rPr>
        <w:t>Esta capacidad de vincular parametros fisicos medibles con categorias morfologicas de glitches es el diferenciador principal de ANFIS frente a arquitecturas CNN de caja negra, que aunque alcanzan precisiones superiores al 97 %, no proporcionan este nivel de explicabilidad.</w:t>
      </w:r>
    </w:p>
    <w:p>
      <w:r>
        <w:br w:type="page"/>
      </w:r>
    </w:p>
    <w:p>
      <w:pPr>
        <w:pStyle w:val="Heading1"/>
      </w:pPr>
      <w:r>
        <w:t>6. Modulo de Generacion de Datos (Generador NPZ)</w:t>
      </w:r>
    </w:p>
    <w:p>
      <w:pPr>
        <w:pStyle w:val="Heading2"/>
      </w:pPr>
      <w:r>
        <w:t>6.1 Arquitectura del generador</w:t>
      </w:r>
    </w:p>
    <w:p>
      <w:r>
        <w:rPr>
          <w:rFonts w:ascii="Calibri" w:hAnsi="Calibri"/>
          <w:b w:val="0"/>
          <w:i w:val="0"/>
          <w:sz w:val="22"/>
        </w:rPr>
        <w:t>Pipeline de generacion de datasets Q-transform desde datos publicos de GWOSC. Dos modos:</w:t>
      </w:r>
    </w:p>
    <w:p>
      <w:pPr>
        <w:pStyle w:val="ListBullet"/>
      </w:pPr>
      <w:r>
        <w:t>Modo 1 -- Sampling aleatorio (run02v2): Genera ventanas nominales muestreando tiempos GPS uniformes dentro de segmentos de ciencia validados con flag IFO_DATA. Usado para entrenamiento de M1.</w:t>
      </w:r>
    </w:p>
    <w:p>
      <w:pPr>
        <w:pStyle w:val="ListBullet"/>
      </w:pPr>
      <w:r>
        <w:t>Modo 2 -- Sampling targeteado (run03): Genera ventanas centradas en peak_time de triggers de Gravity Spy, garantizando label para cada ventana. Variante minority filtra por clases subrepresentadas excluyendo Low_Frequency_Burst y Scattered_Light.</w:t>
      </w:r>
    </w:p>
    <w:p>
      <w:pPr>
        <w:pStyle w:val="Heading2"/>
      </w:pPr>
      <w:r>
        <w:t>6.2 Pipeline de procesamiento por ventana</w:t>
      </w:r>
    </w:p>
    <w:p>
      <w:pPr>
        <w:pStyle w:val="ListNumber"/>
      </w:pPr>
      <w:r>
        <w:t>Consultar segmentos de ciencia con gwosc.timeline.get_segments</w:t>
      </w:r>
    </w:p>
    <w:p>
      <w:pPr>
        <w:pStyle w:val="ListNumber"/>
      </w:pPr>
      <w:r>
        <w:t>Agrupar GPS candidatos por bloque HDF5 de 4096s, ordenar por densidad descendente</w:t>
      </w:r>
    </w:p>
    <w:p>
      <w:pPr>
        <w:pStyle w:val="ListNumber"/>
      </w:pPr>
      <w:r>
        <w:t>Descargar archivo HDF5 con gwosc.locate.get_urls</w:t>
      </w:r>
    </w:p>
    <w:p>
      <w:pPr>
        <w:pStyle w:val="ListNumber"/>
      </w:pPr>
      <w:r>
        <w:t>Leer strain con gwpy.timeseries.TimeSeries.read(format='hdf5.gwosc')</w:t>
      </w:r>
    </w:p>
    <w:p>
      <w:pPr>
        <w:pStyle w:val="ListNumber"/>
      </w:pPr>
      <w:r>
        <w:t>Crop a peak_time +/- 8s (margen para whitening)</w:t>
      </w:r>
    </w:p>
    <w:p>
      <w:pPr>
        <w:pStyle w:val="ListNumber"/>
      </w:pPr>
      <w:r>
        <w:t>Q-transform con whiten=True, qrange=(4,64), frange=(20,1700)</w:t>
      </w:r>
    </w:p>
    <w:p>
      <w:pPr>
        <w:pStyle w:val="ListNumber"/>
      </w:pPr>
      <w:r>
        <w:t>Guardar espectrograma crudo sin normalizacion per-window</w:t>
      </w:r>
    </w:p>
    <w:p>
      <w:pPr>
        <w:pStyle w:val="ListNumber"/>
      </w:pPr>
      <w:r>
        <w:t>Calcular log_energy = log1p(percentile(spec, 90))</w:t>
      </w:r>
    </w:p>
    <w:p>
      <w:pPr>
        <w:pStyle w:val="ListNumber"/>
      </w:pPr>
      <w:r>
        <w:t>Resize a 128x128 con interpolacion bilineal</w:t>
      </w:r>
    </w:p>
    <w:p>
      <w:pPr>
        <w:pStyle w:val="Heading2"/>
      </w:pPr>
      <w:r>
        <w:t>6.3 Rendimiento y tolerancia a fallos</w:t>
      </w:r>
    </w:p>
    <w:p>
      <w:r>
        <w:rPr>
          <w:rFonts w:ascii="Calibri" w:hAnsi="Calibri"/>
          <w:b w:val="0"/>
          <w:i w:val="0"/>
          <w:sz w:val="22"/>
        </w:rPr>
        <w:t>Rendimiento: ~7 ventanas/bloque, ~2 min/bloque. 2000 ventanas aprox. 8 horas.</w:t>
      </w:r>
    </w:p>
    <w:p>
      <w:r>
        <w:rPr>
          <w:rFonts w:ascii="Calibri" w:hAnsi="Calibri"/>
          <w:b w:val="0"/>
          <w:i w:val="0"/>
          <w:sz w:val="22"/>
        </w:rPr>
        <w:t>Sistema de checkpoint: guarda progreso cada 50 ventanas (bloques procesados + ventanas generadas). Permite parar y continuar sin reprocesar. Borrado automatico de HDF5 tras procesar para gestion de disco.</w:t>
      </w:r>
    </w:p>
    <w:p>
      <w:r>
        <w:rPr>
          <w:rFonts w:ascii="Calibri" w:hAnsi="Calibri"/>
          <w:b w:val="0"/>
          <w:i w:val="0"/>
          <w:sz w:val="22"/>
        </w:rPr>
        <w:t>Scripts: run02_v2_generator.py (modo aleatorio), run03_bulk_generator.py (modo targeteado), run03_minority_generator.py (modo minority).</w:t>
      </w:r>
    </w:p>
    <w:p>
      <w:r>
        <w:br w:type="page"/>
      </w:r>
    </w:p>
    <w:p>
      <w:pPr>
        <w:pStyle w:val="Heading1"/>
      </w:pPr>
      <w:r>
        <w:t>7. Pipeline End-to-End</w:t>
      </w:r>
    </w:p>
    <w:p>
      <w:r>
        <w:rPr>
          <w:rFonts w:ascii="Calibri" w:hAnsi="Calibri"/>
          <w:b w:val="0"/>
          <w:i w:val="0"/>
          <w:sz w:val="22"/>
        </w:rPr>
        <w:t>Flujo completo de una ventana:</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850"/>
          </w:tcPr>
          <w:p>
            <w:pPr>
              <w:jc w:val="center"/>
            </w:pPr>
            <w:r>
              <w:t>(1)</w:t>
            </w:r>
          </w:p>
        </w:tc>
        <w:tc>
          <w:tcPr>
            <w:tcW w:type="dxa" w:w="7087"/>
          </w:tcPr>
          <w:p>
            <w:r>
              <w:t>Tiempo GPS</w:t>
            </w:r>
          </w:p>
        </w:tc>
      </w:tr>
      <w:tr>
        <w:tc>
          <w:tcPr>
            <w:tcW w:type="dxa" w:w="850"/>
          </w:tcPr>
          <w:p>
            <w:pPr>
              <w:jc w:val="center"/>
            </w:pPr>
            <w:r>
              <w:t>(2)</w:t>
            </w:r>
          </w:p>
        </w:tc>
        <w:tc>
          <w:tcPr>
            <w:tcW w:type="dxa" w:w="7087"/>
          </w:tcPr>
          <w:p>
            <w:r>
              <w:t>Descarga GWOSC (HDF5 4096s)</w:t>
            </w:r>
          </w:p>
        </w:tc>
      </w:tr>
      <w:tr>
        <w:tc>
          <w:tcPr>
            <w:tcW w:type="dxa" w:w="850"/>
          </w:tcPr>
          <w:p>
            <w:pPr>
              <w:jc w:val="center"/>
            </w:pPr>
            <w:r>
              <w:t>(3)</w:t>
            </w:r>
          </w:p>
        </w:tc>
        <w:tc>
          <w:tcPr>
            <w:tcW w:type="dxa" w:w="7087"/>
          </w:tcPr>
          <w:p>
            <w:r>
              <w:t>Q-transform (gwpy, whiten=True, 128x128)</w:t>
            </w:r>
          </w:p>
        </w:tc>
      </w:tr>
      <w:tr>
        <w:tc>
          <w:tcPr>
            <w:tcW w:type="dxa" w:w="850"/>
          </w:tcPr>
          <w:p>
            <w:pPr>
              <w:jc w:val="center"/>
            </w:pPr>
            <w:r>
              <w:t>(4)</w:t>
            </w:r>
          </w:p>
        </w:tc>
        <w:tc>
          <w:tcPr>
            <w:tcW w:type="dxa" w:w="7087"/>
          </w:tcPr>
          <w:p>
            <w:r>
              <w:t>Normalizacion global (p1/p99)</w:t>
            </w:r>
          </w:p>
        </w:tc>
      </w:tr>
      <w:tr>
        <w:tc>
          <w:tcPr>
            <w:tcW w:type="dxa" w:w="850"/>
          </w:tcPr>
          <w:p>
            <w:pPr>
              <w:jc w:val="center"/>
            </w:pPr>
            <w:r>
              <w:t>(5)</w:t>
            </w:r>
          </w:p>
        </w:tc>
        <w:tc>
          <w:tcPr>
            <w:tcW w:type="dxa" w:w="7087"/>
          </w:tcPr>
          <w:p>
            <w:r>
              <w:t>M1 encoder -&gt; vector latente (dim=32) + ae_score</w:t>
            </w:r>
          </w:p>
        </w:tc>
      </w:tr>
      <w:tr>
        <w:tc>
          <w:tcPr>
            <w:tcW w:type="dxa" w:w="850"/>
          </w:tcPr>
          <w:p>
            <w:pPr>
              <w:jc w:val="center"/>
            </w:pPr>
            <w:r>
              <w:t>(6)</w:t>
            </w:r>
          </w:p>
        </w:tc>
        <w:tc>
          <w:tcPr>
            <w:tcW w:type="dxa" w:w="7087"/>
          </w:tcPr>
          <w:p>
            <w:r>
              <w:t>Concatenar con features CSV (snr, peak_frequency, duration, bandwidth)</w:t>
            </w:r>
          </w:p>
        </w:tc>
      </w:tr>
      <w:tr>
        <w:tc>
          <w:tcPr>
            <w:tcW w:type="dxa" w:w="850"/>
          </w:tcPr>
          <w:p>
            <w:pPr>
              <w:jc w:val="center"/>
            </w:pPr>
            <w:r>
              <w:t>(7)</w:t>
            </w:r>
          </w:p>
        </w:tc>
        <w:tc>
          <w:tcPr>
            <w:tcW w:type="dxa" w:w="7087"/>
          </w:tcPr>
          <w:p>
            <w:r>
              <w:t>ANFIS Etapa 1: Loud vs Rest (7 reglas, ra=0.15)</w:t>
            </w:r>
          </w:p>
        </w:tc>
      </w:tr>
      <w:tr>
        <w:tc>
          <w:tcPr>
            <w:tcW w:type="dxa" w:w="850"/>
          </w:tcPr>
          <w:p>
            <w:pPr>
              <w:jc w:val="center"/>
            </w:pPr>
            <w:r>
              <w:t>(8)</w:t>
            </w:r>
          </w:p>
        </w:tc>
        <w:tc>
          <w:tcPr>
            <w:tcW w:type="dxa" w:w="7087"/>
          </w:tcPr>
          <w:p>
            <w:r>
              <w:t>ANFIS Etapa 2: Burst vs Scatter vs Other (8 reglas, ra=0.10)</w:t>
            </w:r>
          </w:p>
        </w:tc>
      </w:tr>
      <w:tr>
        <w:tc>
          <w:tcPr>
            <w:tcW w:type="dxa" w:w="850"/>
          </w:tcPr>
          <w:p>
            <w:pPr>
              <w:jc w:val="center"/>
            </w:pPr>
            <w:r>
              <w:t>(9)</w:t>
            </w:r>
          </w:p>
        </w:tc>
        <w:tc>
          <w:tcPr>
            <w:tcW w:type="dxa" w:w="7087"/>
          </w:tcPr>
          <w:p>
            <w:r>
              <w:t>Clase predicha + regla activa</w:t>
            </w:r>
          </w:p>
        </w:tc>
      </w:tr>
    </w:tbl>
    <w:p/>
    <w:p>
      <w:r>
        <w:rPr>
          <w:rFonts w:ascii="Calibri" w:hAnsi="Calibri"/>
          <w:b w:val="0"/>
          <w:i w:val="0"/>
          <w:sz w:val="22"/>
        </w:rPr>
        <w:t>Verificacion de consistencia: 500/500 predicciones identicas entre ejecucion pipeline directa y features pre-calculados (m2_pipeline_eval.py).</w:t>
      </w:r>
    </w:p>
    <w:p>
      <w:r>
        <w:br w:type="page"/>
      </w:r>
    </w:p>
    <w:p>
      <w:pPr>
        <w:pStyle w:val="Heading1"/>
      </w:pPr>
      <w:r>
        <w:t>8. Registro de Decisiones de Arquitectura (ADR)</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1417"/>
            <w:shd w:val="clear" w:color="auto" w:fill="2E74B5"/>
          </w:tcPr>
          <w:p>
            <w:pPr>
              <w:jc w:val="center"/>
            </w:pPr>
            <w:r>
              <w:rPr>
                <w:b/>
                <w:color w:val="FFFFFF"/>
              </w:rPr>
              <w:t>ADR</w:t>
            </w:r>
          </w:p>
        </w:tc>
        <w:tc>
          <w:tcPr>
            <w:tcW w:type="dxa" w:w="5953"/>
            <w:shd w:val="clear" w:color="auto" w:fill="2E74B5"/>
          </w:tcPr>
          <w:p>
            <w:pPr>
              <w:jc w:val="center"/>
            </w:pPr>
            <w:r>
              <w:rPr>
                <w:b/>
                <w:color w:val="FFFFFF"/>
              </w:rPr>
              <w:t>Decision</w:t>
            </w:r>
          </w:p>
        </w:tc>
        <w:tc>
          <w:tcPr>
            <w:tcW w:type="dxa" w:w="850"/>
            <w:shd w:val="clear" w:color="auto" w:fill="2E74B5"/>
          </w:tcPr>
          <w:p>
            <w:pPr>
              <w:jc w:val="center"/>
            </w:pPr>
            <w:r>
              <w:rPr>
                <w:b/>
                <w:color w:val="FFFFFF"/>
              </w:rPr>
              <w:t>Estado</w:t>
            </w:r>
          </w:p>
        </w:tc>
      </w:tr>
      <w:tr>
        <w:tc>
          <w:tcPr>
            <w:tcW w:type="dxa" w:w="1417"/>
          </w:tcPr>
          <w:p>
            <w:pPr>
              <w:jc w:val="left"/>
            </w:pPr>
            <w:r>
              <w:t>ADR-0015</w:t>
            </w:r>
          </w:p>
        </w:tc>
        <w:tc>
          <w:tcPr>
            <w:tcW w:type="dxa" w:w="5953"/>
          </w:tcPr>
          <w:p>
            <w:pPr>
              <w:jc w:val="left"/>
            </w:pPr>
            <w:r>
              <w:t>Normalizacion global sin P99 por ventana. La normalizacion per-window destruye diferencias de magnitud inter-ventana criticas para M1.</w:t>
            </w:r>
          </w:p>
        </w:tc>
        <w:tc>
          <w:tcPr>
            <w:tcW w:type="dxa" w:w="850"/>
          </w:tcPr>
          <w:p>
            <w:pPr>
              <w:jc w:val="center"/>
            </w:pPr>
            <w:r>
              <w:t>Activo</w:t>
            </w:r>
          </w:p>
        </w:tc>
      </w:tr>
      <w:tr>
        <w:tc>
          <w:tcPr>
            <w:tcW w:type="dxa" w:w="1417"/>
          </w:tcPr>
          <w:p>
            <w:pPr>
              <w:jc w:val="left"/>
            </w:pPr>
            <w:r>
              <w:t>ADR-0016</w:t>
            </w:r>
          </w:p>
        </w:tc>
        <w:tc>
          <w:tcPr>
            <w:tcW w:type="dxa" w:w="5953"/>
          </w:tcPr>
          <w:p>
            <w:pPr>
              <w:jc w:val="left"/>
            </w:pPr>
            <w:r>
              <w:t>M1 cerrado a AUROC=0.85. Glitches sutiles (LF_Burst, Blip) delegados a M2.</w:t>
            </w:r>
          </w:p>
        </w:tc>
        <w:tc>
          <w:tcPr>
            <w:tcW w:type="dxa" w:w="850"/>
          </w:tcPr>
          <w:p>
            <w:pPr>
              <w:jc w:val="center"/>
            </w:pPr>
            <w:r>
              <w:t>Activo</w:t>
            </w:r>
          </w:p>
        </w:tc>
      </w:tr>
      <w:tr>
        <w:tc>
          <w:tcPr>
            <w:tcW w:type="dxa" w:w="1417"/>
          </w:tcPr>
          <w:p>
            <w:pPr>
              <w:jc w:val="left"/>
            </w:pPr>
            <w:r>
              <w:t>ADR-0017</w:t>
            </w:r>
          </w:p>
        </w:tc>
        <w:tc>
          <w:tcPr>
            <w:tcW w:type="dxa" w:w="5953"/>
          </w:tcPr>
          <w:p>
            <w:pPr>
              <w:jc w:val="left"/>
            </w:pPr>
            <w:r>
              <w:t>M2 usa features del encoder de M1 + metadata CSV, no imagenes raw.</w:t>
            </w:r>
          </w:p>
        </w:tc>
        <w:tc>
          <w:tcPr>
            <w:tcW w:type="dxa" w:w="850"/>
          </w:tcPr>
          <w:p>
            <w:pPr>
              <w:jc w:val="center"/>
            </w:pPr>
            <w:r>
              <w:t>Activo</w:t>
            </w:r>
          </w:p>
        </w:tc>
      </w:tr>
      <w:tr>
        <w:tc>
          <w:tcPr>
            <w:tcW w:type="dxa" w:w="1417"/>
          </w:tcPr>
          <w:p>
            <w:pPr>
              <w:jc w:val="left"/>
            </w:pPr>
            <w:r>
              <w:t>ADR-0018</w:t>
            </w:r>
          </w:p>
        </w:tc>
        <w:tc>
          <w:tcPr>
            <w:tcW w:type="dxa" w:w="5953"/>
          </w:tcPr>
          <w:p>
            <w:pPr>
              <w:jc w:val="left"/>
            </w:pPr>
            <w:r>
              <w:t>23 clases Gravity Spy -&gt; 4 macro-clases (Loud, Burst, Scatter, Other) para viabilidad ANFIS.</w:t>
            </w:r>
          </w:p>
        </w:tc>
        <w:tc>
          <w:tcPr>
            <w:tcW w:type="dxa" w:w="850"/>
          </w:tcPr>
          <w:p>
            <w:pPr>
              <w:jc w:val="center"/>
            </w:pPr>
            <w:r>
              <w:t>Activo</w:t>
            </w:r>
          </w:p>
        </w:tc>
      </w:tr>
    </w:tbl>
    <w:p>
      <w:r>
        <w:br w:type="page"/>
      </w:r>
    </w:p>
    <w:p>
      <w:pPr>
        <w:pStyle w:val="Heading1"/>
      </w:pPr>
      <w:r>
        <w:t>9. Limitaciones y Trabajo Futuro</w:t>
      </w:r>
    </w:p>
    <w:p>
      <w:pPr>
        <w:pStyle w:val="Heading2"/>
      </w:pPr>
      <w:r>
        <w:t>9.1 Limitaciones actuales</w:t>
      </w:r>
    </w:p>
    <w:p>
      <w:pPr>
        <w:pStyle w:val="ListBullet"/>
      </w:pPr>
      <w:r>
        <w:t>Solo escala temporal 1.0s; escalas 0.25s y 4.0s pendientes.</w:t>
      </w:r>
    </w:p>
    <w:p>
      <w:pPr>
        <w:pStyle w:val="ListBullet"/>
      </w:pPr>
      <w:r>
        <w:t>Clase Other heterogenea con F1=0.51.</w:t>
      </w:r>
    </w:p>
    <w:p>
      <w:pPr>
        <w:pStyle w:val="ListBullet"/>
      </w:pPr>
      <w:r>
        <w:t>Dataset de evaluacion limitado a 1637 ventanas.</w:t>
      </w:r>
    </w:p>
    <w:p>
      <w:pPr>
        <w:pStyle w:val="ListBullet"/>
      </w:pPr>
      <w:r>
        <w:t>M1 no detecta glitches sutiles (LF_Burst, Blip): AE score indistinguible del ruido.</w:t>
      </w:r>
    </w:p>
    <w:p>
      <w:pPr>
        <w:pStyle w:val="Heading2"/>
      </w:pPr>
      <w:r>
        <w:t>9.2 Trabajo futuro</w:t>
      </w:r>
    </w:p>
    <w:p>
      <w:pPr>
        <w:pStyle w:val="ListBullet"/>
      </w:pPr>
      <w:r>
        <w:t>Ampliar a escalas 0.25s y 4.0s para capturar glitches de diferente duracion.</w:t>
      </w:r>
    </w:p>
    <w:p>
      <w:pPr>
        <w:pStyle w:val="ListBullet"/>
      </w:pPr>
      <w:r>
        <w:t>Generar mas muestras de clases minoritarias con datos de H1/O3b, L1/O3a, L1/O3b.</w:t>
      </w:r>
    </w:p>
    <w:p>
      <w:pPr>
        <w:pStyle w:val="ListBullet"/>
      </w:pPr>
      <w:r>
        <w:t>Implementar M3 (regresion con canales auxiliares) para correlacionar glitches con fuentes instrumentales.</w:t>
      </w:r>
    </w:p>
    <w:p>
      <w:pPr>
        <w:pStyle w:val="ListBullet"/>
      </w:pPr>
      <w:r>
        <w:t>Explorar ANFIS con features de multiples escalas simultaneas.</w:t>
      </w:r>
    </w:p>
    <w:p>
      <w:pPr>
        <w:pStyle w:val="ListBullet"/>
      </w:pPr>
      <w:r>
        <w:t>Validacion cruzada O3a-&gt;O3b y H1-&gt;L1 para certificar generalizacion inter-detector.</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