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Arial" w:hAnsi="Arial"/>
          <w:b/>
          <w:sz w:val="28"/>
        </w:rPr>
        <w:t>Universidad San Sebastián</w:t>
      </w:r>
    </w:p>
    <w:p>
      <w:pPr>
        <w:jc w:val="center"/>
      </w:pPr>
      <w:r>
        <w:t>Facultad de Ingeniería y Tecnología</w:t>
      </w:r>
    </w:p>
    <w:p/>
    <w:p>
      <w:pPr>
        <w:jc w:val="center"/>
      </w:pPr>
      <w:r>
        <w:rPr>
          <w:b/>
          <w:sz w:val="40"/>
        </w:rPr>
        <w:t>SimulAula</w:t>
      </w:r>
    </w:p>
    <w:p/>
    <w:p>
      <w:pPr>
        <w:jc w:val="center"/>
      </w:pPr>
      <w:r>
        <w:rPr>
          <w:b/>
          <w:sz w:val="30"/>
        </w:rPr>
        <w:t>Propuesta de Infraestructura Cloud para la Etapa Experimental</w:t>
      </w:r>
    </w:p>
    <w:p/>
    <w:p/>
    <w:p>
      <w:r>
        <w:rPr>
          <w:b/>
        </w:rPr>
        <w:t>Estudiante: Tomas Jorquera</w:t>
      </w:r>
    </w:p>
    <w:p>
      <w:r>
        <w:rPr>
          <w:b/>
        </w:rPr>
        <w:t>Fecha: 14/08/2026</w:t>
      </w:r>
    </w:p>
    <w:p>
      <w:r>
        <w:br w:type="page"/>
      </w:r>
    </w:p>
    <w:p>
      <w:pPr>
        <w:spacing w:before="280" w:after="120"/>
      </w:pPr>
      <w:r>
        <w:rPr>
          <w:b/>
          <w:sz w:val="32"/>
        </w:rPr>
        <w:t>1. Contexto y Objetivo</w:t>
      </w:r>
    </w:p>
    <w:p>
      <w:pPr>
        <w:spacing w:after="160"/>
        <w:jc w:val="both"/>
      </w:pPr>
      <w:r>
        <w:t>SimulAula es una plataforma educativa donde estudiantes de pedagogía practican estrategias didácticas interactuando con personajes simulados por IA (Teo y Jojo), que representan perfiles de estudiantes con necesidades educativas especiales. Para la etapa experimental del proyecto se requiere alojar la plataforma en un entorno estable, independiente de la infraestructura universitaria compartida, que garantice disponibilidad y latencia consistentes durante las sesiones de clase en las que participan los estudiantes evaluados.</w:t>
      </w:r>
    </w:p>
    <w:p>
      <w:pPr>
        <w:spacing w:after="160"/>
        <w:jc w:val="both"/>
      </w:pPr>
      <w:r>
        <w:t>Este documento presenta la propuesta de infraestructura cloud recomendada para sostener el experimento, junto con la justificación técnica y económica de cada decisión.</w:t>
      </w:r>
    </w:p>
    <w:p>
      <w:pPr>
        <w:spacing w:before="280" w:after="120"/>
      </w:pPr>
      <w:r>
        <w:rPr>
          <w:b/>
          <w:sz w:val="32"/>
        </w:rPr>
        <w:t>2. Requerimientos del Experimento</w:t>
      </w:r>
    </w:p>
    <w:p>
      <w:pPr>
        <w:pStyle w:val="ListBullet"/>
        <w:spacing w:after="40"/>
      </w:pPr>
      <w:r>
        <w:t>100 a 120 estudiantes participantes.</w:t>
      </w:r>
    </w:p>
    <w:p>
      <w:pPr>
        <w:pStyle w:val="ListBullet"/>
        <w:spacing w:after="40"/>
      </w:pPr>
      <w:r>
        <w:t>2 a 3 sesiones de interacción por estudiante.</w:t>
      </w:r>
    </w:p>
    <w:p>
      <w:pPr>
        <w:pStyle w:val="ListBullet"/>
        <w:spacing w:after="40"/>
      </w:pPr>
      <w:r>
        <w:t>200 a 360 sesiones de simulación en total.</w:t>
      </w:r>
    </w:p>
    <w:p>
      <w:pPr>
        <w:pStyle w:val="ListBullet"/>
        <w:spacing w:after="40"/>
      </w:pPr>
      <w:r>
        <w:t>8 a 12 turnos conversacionales por sesión.</w:t>
      </w:r>
    </w:p>
    <w:p>
      <w:pPr>
        <w:pStyle w:val="ListBullet"/>
        <w:spacing w:after="40"/>
      </w:pPr>
      <w:r>
        <w:t>Hasta 30 usuarios interactuando simultáneamente durante sesiones de clase.</w:t>
      </w:r>
    </w:p>
    <w:p>
      <w:pPr>
        <w:pStyle w:val="ListBullet"/>
        <w:spacing w:after="40"/>
      </w:pPr>
      <w:r>
        <w:t>Uso de perfiles simulados con instrucciones extensas (prompts de personalidad de varios miles de tokens).</w:t>
      </w:r>
    </w:p>
    <w:p>
      <w:pPr>
        <w:pStyle w:val="ListBullet"/>
        <w:spacing w:after="40"/>
      </w:pPr>
      <w:r>
        <w:t>Generación de retroalimentación automatizada posterior a cada sesión.</w:t>
      </w:r>
    </w:p>
    <w:p>
      <w:pPr>
        <w:pStyle w:val="ListBullet"/>
        <w:spacing w:after="40"/>
      </w:pPr>
      <w:r>
        <w:t>Pruebas técnicas previas con cada perfil antes del despliegue.</w:t>
      </w:r>
    </w:p>
    <w:p>
      <w:pPr>
        <w:pStyle w:val="ListBullet"/>
        <w:spacing w:after="40"/>
      </w:pPr>
      <w:r>
        <w:t>Comparación entre versión textual y versión multimodal.</w:t>
      </w:r>
    </w:p>
    <w:p>
      <w:pPr>
        <w:pStyle w:val="ListBullet"/>
        <w:spacing w:after="40"/>
      </w:pPr>
      <w:r>
        <w:t>Procesamiento de voz (TTS para los agentes, STT para la transcripción docente-estudiante) e imágenes.</w:t>
      </w:r>
    </w:p>
    <w:p>
      <w:pPr>
        <w:spacing w:before="280" w:after="120"/>
      </w:pPr>
      <w:r>
        <w:rPr>
          <w:b/>
          <w:sz w:val="32"/>
        </w:rPr>
        <w:t>3. Propuesta de Infraestructura</w:t>
      </w:r>
    </w:p>
    <w:p>
      <w:pPr>
        <w:spacing w:before="160" w:after="80"/>
      </w:pPr>
      <w:r>
        <w:rPr>
          <w:b/>
          <w:i/>
        </w:rPr>
        <w:t>3.1 Arquitectura: un solo servidor cloud con contenedores Docker</w:t>
      </w:r>
    </w:p>
    <w:p>
      <w:pPr>
        <w:spacing w:after="160"/>
        <w:jc w:val="both"/>
      </w:pPr>
      <w:r>
        <w:t>La plataforma está compuesta por un backend (FastAPI), una base de datos (PostgreSQL) y un frontend estático, todos orquestados mediante Docker Compose. El procesamiento pesado de cada interacción — generación de texto, evaluación pedagógica, síntesis y transcripción de voz — no ocurre en el servidor propio, sino en las APIs externas de IA (Gemini, DeepSeek y OpenAI) a las que el backend se conecta. Esto significa que el servidor solo necesita sostener conexiones HTTP concurrentes y escrituras en la base de datos, no cómputo intensivo, incluso con 30 usuarios simultáneos. Por esta razón, un único servidor cloud (VPS) con Docker Compose es suficiente para el experimento — no se requiere una arquitectura distribuida ni orquestación tipo Kubernetes, lo que mantiene el costo y la complejidad operativa bajos.</w:t>
      </w:r>
    </w:p>
    <w:p>
      <w:pPr>
        <w:spacing w:before="160" w:after="80"/>
      </w:pPr>
      <w:r>
        <w:rPr>
          <w:b/>
          <w:i/>
        </w:rPr>
        <w:t>3.2 Proveedor recomendado: Hetzner Cloud</w:t>
      </w:r>
    </w:p>
    <w:p>
      <w:pPr>
        <w:spacing w:after="160"/>
        <w:jc w:val="both"/>
      </w:pPr>
      <w:r>
        <w:t>Se evaluaron tres proveedores de VPS orientados a desarrolladores: Hetzner Cloud, DigitalOcean y Vultr. Los tres ofrecen soporte nativo para Docker y despliegue simple mediante SSH, sin las capas de complejidad y costo adicional de proveedores enterprise como AWS, Google Cloud o Azure, que resultan sobredimensionados para un piloto académico de escala acotada y duración definida (5 meses).</w:t>
      </w:r>
    </w:p>
    <w:p>
      <w:pPr>
        <w:spacing w:after="160"/>
        <w:jc w:val="both"/>
      </w:pPr>
      <w:r>
        <w:t>Entre los tres, Hetzner Cloud ofrece la mejor relación precio/especificaciones y es el que mejor se ajusta a los dos presupuestos objetivo del proyecto (~$12 USD/mes y ~$48 USD/mes) sin necesidad de sobreajustar el plan. Ninguno de los tres proveedores cuenta con un centro de datos en Chile o Sudamérica continental (con la excepción de Vultr, que ofrece São Paulo); sin embargo, esto no representa una limitación real para este proyecto: la latencia adicional de red entre Chile y un servidor en EE.UU. o Europa (aproximadamente 130-150 ms) es insignificante frente al tiempo que ya toma cada respuesta generada por los modelos de IA (entre 0.7 y 7 segundos, medido en pruebas propias del sistema). Se recomienda la región de Ashburn (EE.UU. Este) de Hetzner por ofrecer el mejor equilibrio entre latencia y disponibilidad de planes.</w:t>
      </w:r>
    </w:p>
    <w:p>
      <w:pPr>
        <w:spacing w:before="160" w:after="80"/>
      </w:pPr>
      <w:r>
        <w:rPr>
          <w:b/>
          <w:i/>
        </w:rPr>
        <w:t>3.3 Plan de despliegue por etapas</w:t>
      </w:r>
    </w:p>
    <w:p>
      <w:pPr>
        <w:spacing w:after="160"/>
        <w:jc w:val="both"/>
      </w:pPr>
      <w:r>
        <w:t>Se propone escalar el servidor en dos etapas, alineadas con las fases del proyecto. El cambio de un plan a otro es un simple redimensionamiento del mismo servidor ("resize"), sin necesidad de migrar datos ni reinstalar la plataforma.</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rPr>
              <w:t>Etapa</w:t>
            </w:r>
          </w:p>
        </w:tc>
        <w:tc>
          <w:tcPr>
            <w:tcW w:type="dxa" w:w="2160"/>
          </w:tcPr>
          <w:p>
            <w:r/>
            <w:r>
              <w:rPr>
                <w:b/>
              </w:rPr>
              <w:t>Servidor</w:t>
            </w:r>
          </w:p>
        </w:tc>
        <w:tc>
          <w:tcPr>
            <w:tcW w:type="dxa" w:w="2160"/>
          </w:tcPr>
          <w:p>
            <w:r/>
            <w:r>
              <w:rPr>
                <w:b/>
              </w:rPr>
              <w:t>Especificaciones aprox.</w:t>
            </w:r>
          </w:p>
        </w:tc>
        <w:tc>
          <w:tcPr>
            <w:tcW w:type="dxa" w:w="2160"/>
          </w:tcPr>
          <w:p>
            <w:r/>
            <w:r>
              <w:rPr>
                <w:b/>
              </w:rPr>
              <w:t>Costo mensual</w:t>
            </w:r>
          </w:p>
        </w:tc>
      </w:tr>
      <w:tr>
        <w:tc>
          <w:tcPr>
            <w:tcW w:type="dxa" w:w="2160"/>
          </w:tcPr>
          <w:p>
            <w:r>
              <w:t>Diseño y Cierre</w:t>
              <w:br/>
              <w:t>(5 meses)</w:t>
            </w:r>
          </w:p>
        </w:tc>
        <w:tc>
          <w:tcPr>
            <w:tcW w:type="dxa" w:w="2160"/>
          </w:tcPr>
          <w:p>
            <w:r>
              <w:t>Hetzner CX22</w:t>
            </w:r>
          </w:p>
        </w:tc>
        <w:tc>
          <w:tcPr>
            <w:tcW w:type="dxa" w:w="2160"/>
          </w:tcPr>
          <w:p>
            <w:r>
              <w:t>2 vCPU, 4 GB RAM, 40 GB SSD</w:t>
            </w:r>
          </w:p>
        </w:tc>
        <w:tc>
          <w:tcPr>
            <w:tcW w:type="dxa" w:w="2160"/>
          </w:tcPr>
          <w:p>
            <w:r>
              <w:t>~$10 USD/mes</w:t>
            </w:r>
          </w:p>
        </w:tc>
      </w:tr>
      <w:tr>
        <w:tc>
          <w:tcPr>
            <w:tcW w:type="dxa" w:w="2160"/>
          </w:tcPr>
          <w:p>
            <w:r>
              <w:t>Piloto y Evaluación</w:t>
              <w:br/>
              <w:t>(5 meses)</w:t>
            </w:r>
          </w:p>
        </w:tc>
        <w:tc>
          <w:tcPr>
            <w:tcW w:type="dxa" w:w="2160"/>
          </w:tcPr>
          <w:p>
            <w:r>
              <w:t>Hetzner CX42</w:t>
              <w:br/>
              <w:t>(o equivalente)</w:t>
            </w:r>
          </w:p>
        </w:tc>
        <w:tc>
          <w:tcPr>
            <w:tcW w:type="dxa" w:w="2160"/>
          </w:tcPr>
          <w:p>
            <w:r>
              <w:t>4-8 vCPU, 16 GB RAM</w:t>
            </w:r>
          </w:p>
        </w:tc>
        <w:tc>
          <w:tcPr>
            <w:tcW w:type="dxa" w:w="2160"/>
          </w:tcPr>
          <w:p>
            <w:r>
              <w:t>~$45-50 USD/mes</w:t>
            </w:r>
          </w:p>
        </w:tc>
      </w:tr>
    </w:tbl>
    <w:p/>
    <w:p>
      <w:pPr>
        <w:spacing w:after="160"/>
        <w:jc w:val="both"/>
      </w:pPr>
      <w:r>
        <w:t>Con este esquema, el costo total estimado para los 10 meses de duración del experimento es de aproximadamente $290 USD (5 × $10 + 5 × $48), consistente con la estimación original de ~$300 USD del proyecto.</w:t>
      </w:r>
    </w:p>
    <w:p>
      <w:pPr>
        <w:spacing w:before="160" w:after="80"/>
      </w:pPr>
      <w:r>
        <w:rPr>
          <w:b/>
          <w:i/>
        </w:rPr>
        <w:t>3.4 Respaldo de datos (no contemplado en la estimación original)</w:t>
      </w:r>
    </w:p>
    <w:p>
      <w:pPr>
        <w:spacing w:after="160"/>
        <w:jc w:val="both"/>
      </w:pPr>
      <w:r>
        <w:t>Con 100 a 120 estudiantes generando entre 200 y 360 sesiones reales del experimento, la pérdida de la base de datos por una falla del servidor representaría una pérdida irrecuperable de datos para el análisis final. Se recomienda activar los snapshots automáticos de Hetzner, con un costo adicional de aproximadamente el 20% del valor del servidor contratado (~$2 USD/mes en la etapa de diseño, ~$10 USD/mes en la etapa de piloto). Este costo no estaba incluido en la estimación original y se recomienda incorporarlo como línea de riesgo mitigado.</w:t>
      </w:r>
    </w:p>
    <w:p>
      <w:pPr>
        <w:spacing w:before="280" w:after="120"/>
      </w:pPr>
      <w:r>
        <w:rPr>
          <w:b/>
          <w:sz w:val="32"/>
        </w:rPr>
        <w:t>4. Consideración Adicional: Nivel de Acceso a la API de Gemini</w:t>
      </w:r>
    </w:p>
    <w:p>
      <w:pPr>
        <w:spacing w:after="160"/>
        <w:jc w:val="both"/>
      </w:pPr>
      <w:r>
        <w:t>El requerimiento de hasta 30 usuarios simultáneos durante sesiones de clase exige un nivel de acceso pagado de la API de Gemini con un límite de solicitudes por minuto (RPM) suficiente para sostener esa concurrencia. Según la documentación vigente de Google, el acceso pagado se habilita en dos pasos:</w:t>
      </w:r>
    </w:p>
    <w:p>
      <w:pPr>
        <w:pStyle w:val="ListBullet"/>
        <w:spacing w:after="40"/>
      </w:pPr>
      <w:r>
        <w:t>Nivel 1: se activa de inmediato al vincular una cuenta de facturación a la API, sin período de espera.</w:t>
      </w:r>
    </w:p>
    <w:p>
      <w:pPr>
        <w:pStyle w:val="ListBullet"/>
        <w:spacing w:after="40"/>
      </w:pPr>
      <w:r>
        <w:t>Nivel 2: requiere un gasto acumulado de $100 USD y un mínimo de 3 días desde el primer pago exitoso.</w:t>
      </w:r>
    </w:p>
    <w:p>
      <w:pPr>
        <w:spacing w:after="160"/>
        <w:jc w:val="both"/>
      </w:pPr>
      <w:r>
        <w:t>Google no publica los límites exactos de RPM por modelo en su documentación estática — estos se consultan en el panel de Google AI Studio y pueden variar en el tiempo. Se recomienda verificar el límite vigente para gemini-2.5-flash-lite directamente en dicho panel poco antes del inicio de la etapa de piloto, en lugar de fijar la cifra con meses de anticipación.</w:t>
      </w:r>
    </w:p>
    <w:p>
      <w:pPr>
        <w:spacing w:after="160"/>
        <w:jc w:val="both"/>
      </w:pPr>
      <w:r>
        <w:t>Para efectos de planificación, conviene vincular la facturación y comenzar a generar gasto en la API (por ejemplo, durante las pruebas técnicas de la etapa de diseño) con la antelación suficiente para alcanzar el Nivel 2 antes de que inicie la etapa de piloto, evitando así cualquier limitación de concurrencia justo cuando más se necesita.</w:t>
      </w:r>
    </w:p>
    <w:p>
      <w:pPr>
        <w:spacing w:before="280" w:after="120"/>
      </w:pPr>
      <w:r>
        <w:rPr>
          <w:b/>
          <w:sz w:val="32"/>
        </w:rPr>
        <w:t>5. Resumen de la Propuesta</w:t>
      </w:r>
    </w:p>
    <w:p>
      <w:pPr>
        <w:pStyle w:val="ListBullet"/>
        <w:spacing w:after="40"/>
      </w:pPr>
      <w:r>
        <w:t>Servidor único con Docker Compose (FastAPI + PostgreSQL + frontend) — arquitectura ya utilizada por la plataforma, sin cambios estructurales necesarios.</w:t>
      </w:r>
    </w:p>
    <w:p>
      <w:pPr>
        <w:pStyle w:val="ListBullet"/>
        <w:spacing w:after="40"/>
      </w:pPr>
      <w:r>
        <w:t>Proveedor: Hetzner Cloud, región Ashburn (EE.UU. Este).</w:t>
      </w:r>
    </w:p>
    <w:p>
      <w:pPr>
        <w:pStyle w:val="ListBullet"/>
        <w:spacing w:after="40"/>
      </w:pPr>
      <w:r>
        <w:t>Etapa Diseño/Cierre: Hetzner CX22 (~$10 USD/mes).</w:t>
      </w:r>
    </w:p>
    <w:p>
      <w:pPr>
        <w:pStyle w:val="ListBullet"/>
        <w:spacing w:after="40"/>
      </w:pPr>
      <w:r>
        <w:t>Etapa Piloto/Evaluación: Hetzner CX42 o equivalente (~$45-50 USD/mes).</w:t>
      </w:r>
    </w:p>
    <w:p>
      <w:pPr>
        <w:pStyle w:val="ListBullet"/>
        <w:spacing w:after="40"/>
      </w:pPr>
      <w:r>
        <w:t>Costo total estimado: ~$290 USD en 10 meses, más ~$40-60 USD adicionales si se incorporan snapshots de respaldo.</w:t>
      </w:r>
    </w:p>
    <w:p>
      <w:pPr>
        <w:pStyle w:val="ListBullet"/>
        <w:spacing w:after="40"/>
      </w:pPr>
      <w:r>
        <w:t>Vincular facturación de la API de Gemini con antelación suficiente para alcanzar el Nivel 2 (RPM ampliado) antes del inicio del piloto.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