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D6F6" w14:textId="67D3BCCC" w:rsidR="00E33197" w:rsidRPr="00E33197" w:rsidRDefault="00E33197" w:rsidP="00E33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60"/>
          <w:szCs w:val="60"/>
          <w14:ligatures w14:val="none"/>
        </w:rPr>
      </w:pPr>
      <w:r w:rsidRPr="00E33197">
        <w:rPr>
          <w:rFonts w:ascii="Times New Roman" w:eastAsia="Times New Roman" w:hAnsi="Times New Roman" w:cs="Times New Roman"/>
          <w:b/>
          <w:bCs/>
          <w:color w:val="000000"/>
          <w:kern w:val="36"/>
          <w:sz w:val="60"/>
          <w:szCs w:val="60"/>
          <w14:ligatures w14:val="none"/>
        </w:rPr>
        <w:t>El cuerpo astral, la persona humana</w:t>
      </w:r>
    </w:p>
    <w:p w14:paraId="005A9A87" w14:textId="0A61AEBC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60"/>
          <w:szCs w:val="60"/>
          <w14:ligatures w14:val="none"/>
        </w:rPr>
      </w:pPr>
      <w:r w:rsidRPr="00E33197">
        <w:rPr>
          <w:rFonts w:ascii="Times New Roman" w:eastAsia="Times New Roman" w:hAnsi="Times New Roman" w:cs="Times New Roman"/>
          <w:b/>
          <w:bCs/>
          <w:color w:val="000000"/>
          <w:kern w:val="0"/>
          <w:sz w:val="60"/>
          <w:szCs w:val="60"/>
          <w14:ligatures w14:val="none"/>
        </w:rPr>
        <w:t>y la imposibilidad de la posesión</w:t>
      </w:r>
    </w:p>
    <w:p w14:paraId="2EE6CEFD" w14:textId="77777777" w:rsidR="00E33197" w:rsidRP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31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Un ensayo hylotráxico bifásico</w:t>
      </w:r>
    </w:p>
    <w:p w14:paraId="679F7E40" w14:textId="77777777" w:rsidR="00E33197" w:rsidRPr="00E33197" w:rsidRDefault="00E33197" w:rsidP="00E3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3319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Tomás Ignacio Lavados Sepúlveda</w:t>
      </w:r>
    </w:p>
    <w:p w14:paraId="6CBB4A45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319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(autoría conceptual según el marco hylotráxico)</w:t>
      </w:r>
    </w:p>
    <w:p w14:paraId="681D1DEB" w14:textId="77777777" w:rsidR="00E33197" w:rsidRPr="00E33197" w:rsidRDefault="00547B4C" w:rsidP="00E331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B4C">
        <w:rPr>
          <w:rFonts w:ascii="Times New Roman" w:eastAsia="Times New Roman" w:hAnsi="Times New Roman" w:cs="Times New Roman"/>
          <w:noProof/>
          <w:kern w:val="0"/>
        </w:rPr>
        <w:pict w14:anchorId="4525B71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011ACF1" w14:textId="77777777" w:rsidR="00E33197" w:rsidRP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31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Resumen (Abstract)</w:t>
      </w:r>
    </w:p>
    <w:p w14:paraId="01247AF6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Este ensayo examina la noción de “cuerpo astral” tal como aparece en </w:t>
      </w:r>
      <w:r w:rsidRPr="00E3319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Liber Novus</w:t>
      </w: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(</w:t>
      </w:r>
      <w:r w:rsidRPr="00E3319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El Libro Rojo</w:t>
      </w: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 de Carl Gustav Jung y en el texto apócrifo </w:t>
      </w:r>
      <w:r w:rsidRPr="00E3319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Los Hechos de Tomás</w:t>
      </w: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 analizándola a través del marco hylotráxico bifásico. Se sostiene que los llamados cuerpos astrales no pueden poseer ni habitar ontológicamente cuerpos humanos, debido a la unidad sustancial de cuerpo y alma, al principio de no-repetición de la existencia histórica y a la naturaleza espontánea y no cíclica del desarrollo humano, asegurada por el Espíritu. Conceptos como infierno, sheol, purgatorio y reencarnación son reinterpretados como estructuras simbólico-arquetípicas y no como lugares o procesos metafísicos literales.</w:t>
      </w:r>
    </w:p>
    <w:p w14:paraId="6F8DE7EF" w14:textId="77777777" w:rsidR="00E33197" w:rsidRPr="00E33197" w:rsidRDefault="00547B4C" w:rsidP="00E3319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7B4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79F11EA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207C159" w14:textId="77777777" w:rsidR="00E33197" w:rsidRP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31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Introducción</w:t>
      </w:r>
    </w:p>
    <w:p w14:paraId="6E914C92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 lo largo de la historia humana, los individuos se han experimentado a sí mismos como algo más que mera materia física. Los sueños, la imaginación, la memoria y la esperanza sugieren una dimensión de interioridad que tradicionalmente ha sido descrita mediante conceptos como “alma”, “espíritu” o “doble”. Entre ellos, la idea de un “cuerpo astral” ha persistido en tradiciones religiosas, místicas y psicológicas.</w:t>
      </w:r>
    </w:p>
    <w:p w14:paraId="573363B1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El presente ensayo tiene como objetivo clarificar el estatus ontológico de esta noción utilizando el marco hylotráxico. Se busca demostrar que, aunque las experiencias asociadas al “cuerpo astral” son psicológica y simbólicamente </w:t>
      </w: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significativas, no corresponden a una entidad autónoma capaz de poseer o habitar otro cuerpo humano.</w:t>
      </w:r>
    </w:p>
    <w:p w14:paraId="6984514B" w14:textId="77777777" w:rsidR="00E33197" w:rsidRPr="00E33197" w:rsidRDefault="00547B4C" w:rsidP="00E3319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7B4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4C0EC0E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09307AB" w14:textId="77777777" w:rsidR="00E33197" w:rsidRP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142F9BD7" w14:textId="617C1734" w:rsidR="00E33197" w:rsidRP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31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El origen del concepto de cuerpo astral</w:t>
      </w:r>
    </w:p>
    <w:p w14:paraId="017A48AC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El término “cuerpo astral” suele referirse a la intuición de que un aspecto no físico del yo puede moverse independientemente del cuerpo material. Esta intuición surge de sueños intensos, estados imaginativos y experiencias visionarias comunes a diversas culturas (Eliade, 1958).</w:t>
      </w:r>
    </w:p>
    <w:p w14:paraId="4B429F7D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Sin embargo, la existencia de tales experiencias no implica la existencia literal de un cuerpo separable capaz de interactuar física o metafísicamente con otros seres humanos. El error consiste en confundir el simbolismo experiencial con la sustancia ontológica.</w:t>
      </w:r>
    </w:p>
    <w:p w14:paraId="55ED504F" w14:textId="77777777" w:rsidR="00E33197" w:rsidRPr="00E33197" w:rsidRDefault="00547B4C" w:rsidP="00E33197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547B4C">
        <w:rPr>
          <w:rFonts w:ascii="Times New Roman" w:eastAsia="Times New Roman" w:hAnsi="Times New Roman" w:cs="Times New Roman"/>
          <w:noProof/>
          <w:kern w:val="0"/>
          <w:sz w:val="36"/>
          <w:szCs w:val="36"/>
        </w:rPr>
        <w:pict w14:anchorId="0A391BC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C2EBA19" w14:textId="77777777" w:rsidR="00E33197" w:rsidRP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31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El cuerpo astral en </w:t>
      </w:r>
      <w:r w:rsidRPr="00E3319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Liber Novus</w:t>
      </w:r>
      <w:r w:rsidRPr="00E331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de Jung</w:t>
      </w:r>
    </w:p>
    <w:p w14:paraId="77A60AEC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En </w:t>
      </w:r>
      <w:r w:rsidRPr="00E3319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El Libro Rojo</w:t>
      </w: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 Jung (2009) documenta encuentros visionarios y diálogos interiores que se desarrollan en el interior de la psique. Estas experiencias son descritas frecuentemente mediante metáforas espaciales y corporales. No obstante, Jung sostuvo de manera consistente que estas figuras y movimientos pertenecen al ámbito de la realidad psíquica, no a la ontología física (Jung, 1960).</w:t>
      </w:r>
    </w:p>
    <w:p w14:paraId="37FE08A1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Desde una perspectiva hylotráxica, el “cuerpo astral” en Jung corresponde a una función imaginal: un vehículo simbólico mediante el cual la conciencia se encuentra con contenidos arquetípicos. No es una sustancia desprendible, sino una estructura representacional que posibilita la integración psíquica.</w:t>
      </w:r>
    </w:p>
    <w:p w14:paraId="279DDCEF" w14:textId="77777777" w:rsidR="00E33197" w:rsidRPr="00E33197" w:rsidRDefault="00547B4C" w:rsidP="00E3319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7B4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ADE341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61A9883" w14:textId="77777777" w:rsid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4ADB5070" w14:textId="77777777" w:rsid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6E318B7F" w14:textId="3559A352" w:rsidR="00E33197" w:rsidRP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31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4. La “vestidura del alma” en </w:t>
      </w:r>
      <w:r w:rsidRPr="00E3319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Los Hechos de Tomás</w:t>
      </w:r>
    </w:p>
    <w:p w14:paraId="7DC17CB2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Los Hechos de Tomás</w:t>
      </w: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emplean imágenes poéticas para describir el descenso, el olvido y la restauración final del alma a través de la metáfora de una vestidura luminosa. Esta imaginería ha sido frecuentemente malinterpretada como si implicara transmigración o posesión.</w:t>
      </w:r>
    </w:p>
    <w:p w14:paraId="02D9B8B8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Dentro del marco hylotráxico, dicha vestidura simboliza la plenitud de la identidad personal más que la migración de un alma entre cuerpos. El texto articula una narrativa soteriológica de recuerdo y realización moral, no un mecanismo metafísico literal (Klijn, 1962).</w:t>
      </w:r>
    </w:p>
    <w:p w14:paraId="48B4807B" w14:textId="45178CC8" w:rsidR="00E33197" w:rsidRPr="00E33197" w:rsidRDefault="00547B4C" w:rsidP="00E3319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7B4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57277A7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75AA545" w14:textId="499087BF" w:rsidR="00E33197" w:rsidRP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31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La unidad ontológica de cuerpo y alma</w:t>
      </w:r>
    </w:p>
    <w:p w14:paraId="68126E12" w14:textId="77777777" w:rsidR="00E33197" w:rsidRP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2B83285A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Un elemento central de la posición hylotráxica es la afirmación de la unidad sustancial de cuerpo y alma. El ser humano no posee un cuerpo y un alma como componentes separables, sino que existe como una unidad personal indivisible.</w:t>
      </w:r>
    </w:p>
    <w:p w14:paraId="61AFC7D4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Esta posición se alinea con la antropología metafísica clásica (Tomás de Aquino, </w:t>
      </w:r>
      <w:r w:rsidRPr="00E3319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Suma Teológica</w:t>
      </w: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 I.76), ampliándola mediante el principio hylotráxico según el cual la identidad es históricamente emergente y no transferible. En consecuencia, la idea de posesión presupone un cuerpo vacío o reemplazable, lo cual resulta ontológicamente incoherente.</w:t>
      </w:r>
    </w:p>
    <w:p w14:paraId="2F9206A1" w14:textId="77777777" w:rsidR="00E33197" w:rsidRPr="00E33197" w:rsidRDefault="00547B4C" w:rsidP="00E3319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7B4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4206356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0151693" w14:textId="77777777" w:rsidR="00E33197" w:rsidRP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31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Restricciones físicas y cosmológicas</w:t>
      </w:r>
    </w:p>
    <w:p w14:paraId="140FAED7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Toda entidad que exista en el universo debe operar bajo sus leyes físicas. Un hipotético cuerpo astral capaz de entrar en otro cuerpo humano violaría la clausura causal y la coherencia de la identidad.</w:t>
      </w:r>
    </w:p>
    <w:p w14:paraId="38B332BE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Tal violación haría imposible la continuidad personal y socavaría la responsabilidad ética. Por ello, el marco hylotráxico rechaza la posesión no solo por razones metafísicas, sino también cosmológicas.</w:t>
      </w:r>
    </w:p>
    <w:p w14:paraId="4DAE652F" w14:textId="77777777" w:rsidR="00E33197" w:rsidRPr="00E33197" w:rsidRDefault="00547B4C" w:rsidP="00E3319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7B4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w:pict w14:anchorId="1BB2521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66CA4D3" w14:textId="77777777" w:rsidR="00E33197" w:rsidRP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31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El principio de no-repetición</w:t>
      </w:r>
    </w:p>
    <w:p w14:paraId="00FC09F3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Un axioma fundamental del marco hylotráxico es el principio de no-repetición: ningún acontecimiento histórico, conciencia o persona ocurre dos veces de manera idéntica. Este principio resguarda la dignidad humana al afirmar la singularidad de cada vida.</w:t>
      </w:r>
    </w:p>
    <w:p w14:paraId="601653D7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En consecuencia, las doctrinas de reencarnación literal o de encarnaciones repetidas son incompatibles con una concepción coherente de la identidad personal y del desarrollo moral.</w:t>
      </w:r>
    </w:p>
    <w:p w14:paraId="539B5185" w14:textId="77777777" w:rsidR="00E33197" w:rsidRPr="00E33197" w:rsidRDefault="00547B4C" w:rsidP="00E3319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7B4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A2BEE2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8934EA2" w14:textId="437D2602" w:rsidR="00E33197" w:rsidRP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31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Interpretación arquetípica de los conceptos escatológicos</w:t>
      </w:r>
    </w:p>
    <w:p w14:paraId="163C653C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Conceptos como infierno, sheol, purgatorio y reencarnación se comprenden mejor como representaciones arquetípicas de estados morales y existenciales, más que como lugares o procesos literales.</w:t>
      </w:r>
    </w:p>
    <w:p w14:paraId="2604741C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El infierno significa alienación radical del bien; el purgatorio representa corrección transformadora; el sheol denota oscuridad existencial. Estos símbolos articulan la experiencia humana sin implicar una metafísica espacial.</w:t>
      </w:r>
    </w:p>
    <w:p w14:paraId="13E70A53" w14:textId="77777777" w:rsidR="00E33197" w:rsidRPr="00E33197" w:rsidRDefault="00547B4C" w:rsidP="00E3319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7B4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06E0F36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183D5D1" w14:textId="77777777" w:rsidR="00E33197" w:rsidRP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31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El Espíritu como principio de espontaneidad</w:t>
      </w:r>
    </w:p>
    <w:p w14:paraId="59AE6739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Dentro del modelo hylotráxico, el Espíritu (conceptualmente análogo al Espíritu Santo en la teología cristiana) funciona como un principio de espontaneidad y novedad. Asegura que la historia permanezca abierta, creativa y progresiva, en lugar de cíclica o repetitiva.</w:t>
      </w:r>
    </w:p>
    <w:p w14:paraId="12BAEDAC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Esta espontaneidad excluye la posesión y la repetición al afirmar la libertad, la responsabilidad y la innovación en la existencia humana.</w:t>
      </w:r>
    </w:p>
    <w:p w14:paraId="283C8B8B" w14:textId="77777777" w:rsidR="00E33197" w:rsidRPr="00E33197" w:rsidRDefault="00547B4C" w:rsidP="00E3319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7B4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5EFE457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DFCC5B" w14:textId="77777777" w:rsid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35C225D8" w14:textId="12ECFE2D" w:rsidR="00E33197" w:rsidRP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31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10. Orígenes psicológicos de las creencias en la posesión</w:t>
      </w:r>
    </w:p>
    <w:p w14:paraId="74329AD8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Las creencias en la posesión suelen surgir de la tendencia humana a externalizar la culpa, el miedo o la pérdida de control. Al atribuir las acciones a una entidad invasora, la responsabilidad se desplaza.</w:t>
      </w:r>
    </w:p>
    <w:p w14:paraId="546B4654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El marco hylotráxico interpreta tales creencias como construcciones simbólicas defensivas, no como descripciones metafísicas precisas.</w:t>
      </w:r>
    </w:p>
    <w:p w14:paraId="3275FA14" w14:textId="77777777" w:rsidR="00E33197" w:rsidRPr="00E33197" w:rsidRDefault="00547B4C" w:rsidP="00E3319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7B4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174F6D4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07AAE1" w14:textId="77777777" w:rsidR="00E33197" w:rsidRP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31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Conclusión</w:t>
      </w:r>
    </w:p>
    <w:p w14:paraId="08335CDF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Desde una perspectiva hylotráxica bifásica, el cuerpo astral es un constructo simbólico-arquetípico que expresa experiencias psicológicas interiores, pero carece de independencia ontológica. El ser humano es una unidad personal indivisible cuya identidad no puede ser poseída, reemplazada ni repetida.</w:t>
      </w:r>
    </w:p>
    <w:p w14:paraId="357E967A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Las nociones escatológicas cumplen una función simbólica en la articulación del desarrollo moral, mientras que el principio de espontaneidad asegura el progreso histórico y la dignidad personal. En consecuencia, la idea de posesión astral resulta metafísicamente incoherente y éticamente destructiva.</w:t>
      </w:r>
    </w:p>
    <w:p w14:paraId="545F9A64" w14:textId="77777777" w:rsidR="00E33197" w:rsidRPr="00E33197" w:rsidRDefault="00547B4C" w:rsidP="00E3319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47B4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55F2FAC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B2C086" w14:textId="77777777" w:rsidR="00E33197" w:rsidRPr="00E33197" w:rsidRDefault="00E33197" w:rsidP="00E33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31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Referencias (formato Harvard)</w:t>
      </w:r>
    </w:p>
    <w:p w14:paraId="4E90B87C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Aquinas, T. (1981). </w:t>
      </w:r>
      <w:r w:rsidRPr="00E3319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Summa Theologiae</w:t>
      </w: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 Traducción de los Padres Dominicos Ingleses. Westminster, MD: Christian Classics.</w:t>
      </w:r>
    </w:p>
    <w:p w14:paraId="210244CA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Eliade, M. (1958). </w:t>
      </w:r>
      <w:r w:rsidRPr="00E3319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Ritos y símbolos de la iniciación</w:t>
      </w: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 Nueva York: Harper &amp; Row.</w:t>
      </w:r>
    </w:p>
    <w:p w14:paraId="6F15C7C1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Jung, C.G. (1960). </w:t>
      </w:r>
      <w:r w:rsidRPr="00E3319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La estructura y dinámica de la psique</w:t>
      </w: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 Obras Completas, Vol. 8. Princeton: Princeton University Press.</w:t>
      </w:r>
    </w:p>
    <w:p w14:paraId="319D372B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Jung, C.G. (2009). </w:t>
      </w:r>
      <w:r w:rsidRPr="00E3319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El Libro Rojo: Liber Novus</w:t>
      </w: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 Ed. S. Shamdasani. Nueva York: W. W. Norton &amp; Company.</w:t>
      </w:r>
    </w:p>
    <w:p w14:paraId="775A306E" w14:textId="77777777" w:rsidR="00E33197" w:rsidRPr="00E33197" w:rsidRDefault="00E33197" w:rsidP="00E3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Klijn, A.F.J. (1962). </w:t>
      </w:r>
      <w:r w:rsidRPr="00E3319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Los Hechos de Tomás</w:t>
      </w:r>
      <w:r w:rsidRPr="00E33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 Leiden: Brill.</w:t>
      </w:r>
    </w:p>
    <w:p w14:paraId="018C1BE7" w14:textId="77777777" w:rsidR="00354789" w:rsidRPr="00E33197" w:rsidRDefault="00354789">
      <w:pPr>
        <w:rPr>
          <w:sz w:val="28"/>
          <w:szCs w:val="28"/>
        </w:rPr>
      </w:pPr>
    </w:p>
    <w:sectPr w:rsidR="00354789" w:rsidRPr="00E33197" w:rsidSect="00C44D9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197"/>
    <w:rsid w:val="00091B23"/>
    <w:rsid w:val="00354789"/>
    <w:rsid w:val="00465DC1"/>
    <w:rsid w:val="00547B4C"/>
    <w:rsid w:val="00557598"/>
    <w:rsid w:val="0086667F"/>
    <w:rsid w:val="00A813F7"/>
    <w:rsid w:val="00A855DD"/>
    <w:rsid w:val="00C1618E"/>
    <w:rsid w:val="00C44D93"/>
    <w:rsid w:val="00E3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657351"/>
  <w15:chartTrackingRefBased/>
  <w15:docId w15:val="{AD15C3FD-A0BC-F847-9B34-9BA309CE9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3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3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1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3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33197"/>
    <w:rPr>
      <w:i/>
      <w:iCs/>
    </w:rPr>
  </w:style>
  <w:style w:type="character" w:customStyle="1" w:styleId="apple-converted-space">
    <w:name w:val="apple-converted-space"/>
    <w:basedOn w:val="DefaultParagraphFont"/>
    <w:rsid w:val="00E33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1133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Ignacio Lavados Sepúlveda</dc:creator>
  <cp:keywords/>
  <dc:description/>
  <cp:lastModifiedBy>Tomás Ignacio Lavados Sepúlveda</cp:lastModifiedBy>
  <cp:revision>1</cp:revision>
  <dcterms:created xsi:type="dcterms:W3CDTF">2025-12-13T23:25:00Z</dcterms:created>
  <dcterms:modified xsi:type="dcterms:W3CDTF">2025-12-13T23:30:00Z</dcterms:modified>
</cp:coreProperties>
</file>