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9B2F5" w14:textId="443F9391" w:rsidR="00A04E9B" w:rsidRPr="00A04E9B" w:rsidRDefault="00DF2688" w:rsidP="00A04E9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Pr>
          <w:rFonts w:ascii="Times New Roman" w:eastAsia="Times New Roman" w:hAnsi="Times New Roman" w:cs="Times New Roman"/>
          <w:b/>
          <w:bCs/>
          <w:color w:val="000000"/>
          <w:kern w:val="36"/>
          <w:sz w:val="48"/>
          <w:szCs w:val="48"/>
          <w14:ligatures w14:val="none"/>
        </w:rPr>
        <w:t>LA  APARIENCIA D</w:t>
      </w:r>
      <w:r w:rsidR="00A04E9B" w:rsidRPr="00A04E9B">
        <w:rPr>
          <w:rFonts w:ascii="Times New Roman" w:eastAsia="Times New Roman" w:hAnsi="Times New Roman" w:cs="Times New Roman"/>
          <w:b/>
          <w:bCs/>
          <w:color w:val="000000"/>
          <w:kern w:val="36"/>
          <w:sz w:val="48"/>
          <w:szCs w:val="48"/>
          <w14:ligatures w14:val="none"/>
        </w:rPr>
        <w:t>EL MUNDO COMO IRRACIONAL: PSICOSIS MORALES DE LA MODERNIDAD Y SU REFUTACIÓN HILOTRÁXICA</w:t>
      </w:r>
    </w:p>
    <w:p w14:paraId="058337B3" w14:textId="3A7BA42F" w:rsidR="00A04E9B" w:rsidRPr="00A04E9B" w:rsidRDefault="00A04E9B" w:rsidP="00A04E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4E9B">
        <w:rPr>
          <w:rFonts w:ascii="Times New Roman" w:eastAsia="Times New Roman" w:hAnsi="Times New Roman" w:cs="Times New Roman"/>
          <w:b/>
          <w:bCs/>
          <w:i/>
          <w:iCs/>
          <w:color w:val="000000"/>
          <w:kern w:val="0"/>
          <w:sz w:val="27"/>
          <w:szCs w:val="27"/>
          <w14:ligatures w14:val="none"/>
        </w:rPr>
        <w:t xml:space="preserve">Ensayo académico – </w:t>
      </w:r>
      <w:r>
        <w:rPr>
          <w:rFonts w:ascii="Times New Roman" w:eastAsia="Times New Roman" w:hAnsi="Times New Roman" w:cs="Times New Roman"/>
          <w:b/>
          <w:bCs/>
          <w:i/>
          <w:iCs/>
          <w:color w:val="000000"/>
          <w:kern w:val="0"/>
          <w:sz w:val="27"/>
          <w:szCs w:val="27"/>
          <w14:ligatures w14:val="none"/>
        </w:rPr>
        <w:t>Tomás Ignacio Lavados Sepúlveda</w:t>
      </w:r>
    </w:p>
    <w:p w14:paraId="15FC8793" w14:textId="77777777" w:rsidR="00A04E9B" w:rsidRPr="00A04E9B" w:rsidRDefault="006B7789" w:rsidP="00A04E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C2485CC">
          <v:rect id="_x0000_i1034" alt="" style="width:468pt;height:.05pt;mso-width-percent:0;mso-height-percent:0;mso-width-percent:0;mso-height-percent:0" o:hralign="center" o:hrstd="t" o:hr="t" fillcolor="#a0a0a0" stroked="f"/>
        </w:pict>
      </w:r>
    </w:p>
    <w:p w14:paraId="13E9D910" w14:textId="77777777" w:rsidR="00A04E9B" w:rsidRPr="00A04E9B" w:rsidRDefault="00A04E9B" w:rsidP="00A04E9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04E9B">
        <w:rPr>
          <w:rFonts w:ascii="Times New Roman" w:eastAsia="Times New Roman" w:hAnsi="Times New Roman" w:cs="Times New Roman"/>
          <w:b/>
          <w:bCs/>
          <w:color w:val="000000"/>
          <w:kern w:val="0"/>
          <w:sz w:val="36"/>
          <w:szCs w:val="36"/>
          <w14:ligatures w14:val="none"/>
        </w:rPr>
        <w:t>Resumen</w:t>
      </w:r>
    </w:p>
    <w:p w14:paraId="0D38F94E"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Este ensayo examina la tesis según la cual el mundo moderno ha generado una “psicosis moral” que psicotiza a los inocentes al declarar que la vida es un mal radical: absurda, injusta, malvada y desgraciada en su esencia. Se identifican los fundamentos filosóficos de esta visión —el nihilismo, el existencialismo, el pesimismo, el materialismo histórico, algunas vertientes del anarquismo libertario y el freudismo radical— y se muestra su incoherencia lógica, afectiva y metafísica. Se sostiene que, al invertir los valores fundamentales de bien y mal (vida/muerte; creación/destrucción; comunión/aislamiento), estas corrientes producen una distorsión perceptual comparable a una psicosis colectiva, en la que la exaltación de la destrucción se enmascara como emancipación. Finalmente, se ofrece una refutación desde la metafísica hylotráxica, mostrando que la vida, lejos de ser un mal, es la condición formal de aparición de lo inteligible, y que las filosofías de la negación tienden a colapsar en paradojas autorrefutativas.</w:t>
      </w:r>
    </w:p>
    <w:p w14:paraId="5DC0EB8B" w14:textId="77777777" w:rsidR="00A04E9B" w:rsidRPr="00A04E9B" w:rsidRDefault="006B7789" w:rsidP="00A04E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9F7657C">
          <v:rect id="_x0000_i1033" alt="" style="width:468pt;height:.05pt;mso-width-percent:0;mso-height-percent:0;mso-width-percent:0;mso-height-percent:0" o:hralign="center" o:hrstd="t" o:hr="t" fillcolor="#a0a0a0" stroked="f"/>
        </w:pict>
      </w:r>
    </w:p>
    <w:p w14:paraId="4D1914E7" w14:textId="77777777" w:rsidR="00A04E9B" w:rsidRPr="00A04E9B" w:rsidRDefault="00A04E9B" w:rsidP="00A04E9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04E9B">
        <w:rPr>
          <w:rFonts w:ascii="Times New Roman" w:eastAsia="Times New Roman" w:hAnsi="Times New Roman" w:cs="Times New Roman"/>
          <w:b/>
          <w:bCs/>
          <w:color w:val="000000"/>
          <w:kern w:val="36"/>
          <w:sz w:val="48"/>
          <w:szCs w:val="48"/>
          <w14:ligatures w14:val="none"/>
        </w:rPr>
        <w:t>1. Introducción: el problema del mal entendido como totalidad</w:t>
      </w:r>
    </w:p>
    <w:p w14:paraId="5643C0DA"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La modernidad filosófica ha concebido, de forma recurrente, la hipótesis de que la vida es un mal radical. Schopenhauer (1818) vio en la voluntad una tendencia ciega e insaciable al dolor. Nietzsche (1887), aunque crítico del pesimismo, reconoció el abismo que abre la muerte de Dios. Camus (1942) definió la existencia como absurda por la desproporción entre razón y mundo. Freud (1920) postuló un instinto de muerte que tiende a la disolución. Marx (1844) vio la historia como conflicto, alienación y lucha implacable. Diversas psicologías críticas y movimientos políticos posteriores han radicalizado estas nociones hacia la idea de que la vida es una suerte de error trágico cuya redención solo puede venir de su subversión o destrucción.</w:t>
      </w:r>
    </w:p>
    <w:p w14:paraId="004A4A5C"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La tesis analizada aquí es más radical aún: </w:t>
      </w:r>
      <w:r w:rsidRPr="00A04E9B">
        <w:rPr>
          <w:rFonts w:ascii="Times New Roman" w:eastAsia="Times New Roman" w:hAnsi="Times New Roman" w:cs="Times New Roman"/>
          <w:b/>
          <w:bCs/>
          <w:color w:val="000000"/>
          <w:kern w:val="0"/>
          <w14:ligatures w14:val="none"/>
        </w:rPr>
        <w:t>el mundo moderno habría internalizado una visión psicótica de la realidad</w:t>
      </w:r>
      <w:r w:rsidRPr="00A04E9B">
        <w:rPr>
          <w:rFonts w:ascii="Times New Roman" w:eastAsia="Times New Roman" w:hAnsi="Times New Roman" w:cs="Times New Roman"/>
          <w:color w:val="000000"/>
          <w:kern w:val="0"/>
          <w14:ligatures w14:val="none"/>
        </w:rPr>
        <w:t xml:space="preserve">, en la cual los valores de la vida son reinterpretados como mentiras útiles, mientras que la muerte, la negación y la destrucción son concebidas como formas de </w:t>
      </w:r>
      <w:r w:rsidRPr="00A04E9B">
        <w:rPr>
          <w:rFonts w:ascii="Times New Roman" w:eastAsia="Times New Roman" w:hAnsi="Times New Roman" w:cs="Times New Roman"/>
          <w:color w:val="000000"/>
          <w:kern w:val="0"/>
          <w14:ligatures w14:val="none"/>
        </w:rPr>
        <w:lastRenderedPageBreak/>
        <w:t>“verdad liberadora”. Esta inversión moral, que recuerda el diagnóstico de </w:t>
      </w:r>
      <w:r w:rsidRPr="00A04E9B">
        <w:rPr>
          <w:rFonts w:ascii="Times New Roman" w:eastAsia="Times New Roman" w:hAnsi="Times New Roman" w:cs="Times New Roman"/>
          <w:i/>
          <w:iCs/>
          <w:color w:val="000000"/>
          <w:kern w:val="0"/>
          <w14:ligatures w14:val="none"/>
        </w:rPr>
        <w:t>nihilismo pasivo</w:t>
      </w:r>
      <w:r w:rsidRPr="00A04E9B">
        <w:rPr>
          <w:rFonts w:ascii="Times New Roman" w:eastAsia="Times New Roman" w:hAnsi="Times New Roman" w:cs="Times New Roman"/>
          <w:color w:val="000000"/>
          <w:kern w:val="0"/>
          <w14:ligatures w14:val="none"/>
        </w:rPr>
        <w:t> (Nietzsche, 1888), se reproduce hoy en movimientos culturales, filosóficos y políticos que celebran la disolución, el rechazo de la tradición, la ruptura identitaria y la negación del sentido.</w:t>
      </w:r>
    </w:p>
    <w:p w14:paraId="3D1352C2"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El objetivo de este ensayo es triple:</w:t>
      </w:r>
    </w:p>
    <w:p w14:paraId="295AC42E" w14:textId="77777777" w:rsidR="00A04E9B" w:rsidRPr="00A04E9B" w:rsidRDefault="00A04E9B" w:rsidP="00A04E9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b/>
          <w:bCs/>
          <w:color w:val="000000"/>
          <w:kern w:val="0"/>
          <w14:ligatures w14:val="none"/>
        </w:rPr>
        <w:t>Describir la estructura lógica de esta psicosis moral moderna.</w:t>
      </w:r>
    </w:p>
    <w:p w14:paraId="1A24E990" w14:textId="77777777" w:rsidR="00A04E9B" w:rsidRPr="00A04E9B" w:rsidRDefault="00A04E9B" w:rsidP="00A04E9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b/>
          <w:bCs/>
          <w:color w:val="000000"/>
          <w:kern w:val="0"/>
          <w14:ligatures w14:val="none"/>
        </w:rPr>
        <w:t>Examinar sus raíces filosóficas y su impacto en la subjetividad contemporánea.</w:t>
      </w:r>
    </w:p>
    <w:p w14:paraId="1520EC6B" w14:textId="77777777" w:rsidR="00A04E9B" w:rsidRPr="00A04E9B" w:rsidRDefault="00A04E9B" w:rsidP="00A04E9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b/>
          <w:bCs/>
          <w:color w:val="000000"/>
          <w:kern w:val="0"/>
          <w14:ligatures w14:val="none"/>
        </w:rPr>
        <w:t>Ofrecer, desde la metafísica hylotráxica, una refutación sistemática de la tesis de la vida como mal.</w:t>
      </w:r>
    </w:p>
    <w:p w14:paraId="2B1A73B4"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Lo hylotráxico —la estructura formal de la conciencia como acto de luz encarnada en materia sensible— permite entender que la negatividad absoluta atribuida a la existencia nace de un error eidético: </w:t>
      </w:r>
      <w:r w:rsidRPr="00A04E9B">
        <w:rPr>
          <w:rFonts w:ascii="Times New Roman" w:eastAsia="Times New Roman" w:hAnsi="Times New Roman" w:cs="Times New Roman"/>
          <w:b/>
          <w:bCs/>
          <w:color w:val="000000"/>
          <w:kern w:val="0"/>
          <w14:ligatures w14:val="none"/>
        </w:rPr>
        <w:t>confundir la finitud con maldad</w:t>
      </w:r>
      <w:r w:rsidRPr="00A04E9B">
        <w:rPr>
          <w:rFonts w:ascii="Times New Roman" w:eastAsia="Times New Roman" w:hAnsi="Times New Roman" w:cs="Times New Roman"/>
          <w:color w:val="000000"/>
          <w:kern w:val="0"/>
          <w14:ligatures w14:val="none"/>
        </w:rPr>
        <w:t>, y la infinitud inalcanzable con condena, no con apertura.</w:t>
      </w:r>
    </w:p>
    <w:p w14:paraId="30D58806" w14:textId="77777777" w:rsidR="00A04E9B" w:rsidRPr="00A04E9B" w:rsidRDefault="006B7789" w:rsidP="00A04E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1C92718">
          <v:rect id="_x0000_i1032" alt="" style="width:468pt;height:.05pt;mso-width-percent:0;mso-height-percent:0;mso-width-percent:0;mso-height-percent:0" o:hralign="center" o:hrstd="t" o:hr="t" fillcolor="#a0a0a0" stroked="f"/>
        </w:pict>
      </w:r>
    </w:p>
    <w:p w14:paraId="0AD01A89" w14:textId="77777777" w:rsidR="00A04E9B" w:rsidRPr="00A04E9B" w:rsidRDefault="00A04E9B" w:rsidP="00A04E9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04E9B">
        <w:rPr>
          <w:rFonts w:ascii="Times New Roman" w:eastAsia="Times New Roman" w:hAnsi="Times New Roman" w:cs="Times New Roman"/>
          <w:b/>
          <w:bCs/>
          <w:color w:val="000000"/>
          <w:kern w:val="36"/>
          <w:sz w:val="48"/>
          <w:szCs w:val="48"/>
          <w14:ligatures w14:val="none"/>
        </w:rPr>
        <w:t>2. La psicosis moral: definición filosófica y fenomenológica</w:t>
      </w:r>
    </w:p>
    <w:p w14:paraId="6C96B0C4" w14:textId="77777777" w:rsidR="00A04E9B" w:rsidRPr="00A04E9B" w:rsidRDefault="00A04E9B" w:rsidP="00A04E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4E9B">
        <w:rPr>
          <w:rFonts w:ascii="Times New Roman" w:eastAsia="Times New Roman" w:hAnsi="Times New Roman" w:cs="Times New Roman"/>
          <w:b/>
          <w:bCs/>
          <w:color w:val="000000"/>
          <w:kern w:val="0"/>
          <w:sz w:val="27"/>
          <w:szCs w:val="27"/>
          <w14:ligatures w14:val="none"/>
        </w:rPr>
        <w:t>2.1. La inversión moral como trastorno de la racionalidad práctica</w:t>
      </w:r>
    </w:p>
    <w:p w14:paraId="6C08357A"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Una psicosis moral no implica necesariamente delirio clínico, sino una ruptura estructural de la jerarquía afectiva y axiológica. Consiste en </w:t>
      </w:r>
      <w:r w:rsidRPr="00A04E9B">
        <w:rPr>
          <w:rFonts w:ascii="Times New Roman" w:eastAsia="Times New Roman" w:hAnsi="Times New Roman" w:cs="Times New Roman"/>
          <w:b/>
          <w:bCs/>
          <w:color w:val="000000"/>
          <w:kern w:val="0"/>
          <w14:ligatures w14:val="none"/>
        </w:rPr>
        <w:t>invertir la relación entre los bienes y los males fundamentales</w:t>
      </w:r>
      <w:r w:rsidRPr="00A04E9B">
        <w:rPr>
          <w:rFonts w:ascii="Times New Roman" w:eastAsia="Times New Roman" w:hAnsi="Times New Roman" w:cs="Times New Roman"/>
          <w:color w:val="000000"/>
          <w:kern w:val="0"/>
          <w14:ligatures w14:val="none"/>
        </w:rPr>
        <w:t>, reinterpretando lo vital como fuente de engaño y lo destructivo como camino de lucidez. Este fenómeno se observa en:</w:t>
      </w:r>
    </w:p>
    <w:p w14:paraId="11F88747" w14:textId="77777777" w:rsidR="00A04E9B" w:rsidRPr="00A04E9B" w:rsidRDefault="00A04E9B" w:rsidP="00A04E9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El existencialismo que celebra la angustia como único hecho verdadero (Sartre, 1943).</w:t>
      </w:r>
    </w:p>
    <w:p w14:paraId="066A6F4F" w14:textId="77777777" w:rsidR="00A04E9B" w:rsidRPr="00A04E9B" w:rsidRDefault="00A04E9B" w:rsidP="00A04E9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El nihilismo que considera que toda afirmación de sentido es manipulación (Nietzsche, 1887).</w:t>
      </w:r>
    </w:p>
    <w:p w14:paraId="3C3CEC3C" w14:textId="77777777" w:rsidR="00A04E9B" w:rsidRPr="00A04E9B" w:rsidRDefault="00A04E9B" w:rsidP="00A04E9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El pesimismo que sostiene que el ser es inferior a la nada (Schopenhauer, 1818; Zapffe, 1933).</w:t>
      </w:r>
    </w:p>
    <w:p w14:paraId="083F9F07" w14:textId="77777777" w:rsidR="00A04E9B" w:rsidRPr="00A04E9B" w:rsidRDefault="00A04E9B" w:rsidP="00A04E9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El post-estructuralismo que reduce toda verdad a relaciones de poder (Foucault, 1975).</w:t>
      </w:r>
    </w:p>
    <w:p w14:paraId="0BC4923C" w14:textId="77777777" w:rsidR="00A04E9B" w:rsidRPr="00A04E9B" w:rsidRDefault="00A04E9B" w:rsidP="00A04E9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El materialismo histórico que justifica la violencia como motor dialéctico (Marx, 1867).</w:t>
      </w:r>
    </w:p>
    <w:p w14:paraId="0F2AAE3D" w14:textId="77777777" w:rsidR="00A04E9B" w:rsidRPr="00A04E9B" w:rsidRDefault="00A04E9B" w:rsidP="00A04E9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El anarco-capitalismo radical que concibe toda cooperación institucional como opresión.</w:t>
      </w:r>
    </w:p>
    <w:p w14:paraId="736B149A"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La psicosis moral opera bajo un mecanismo común:</w:t>
      </w:r>
      <w:r w:rsidRPr="00A04E9B">
        <w:rPr>
          <w:rFonts w:ascii="Times New Roman" w:eastAsia="Times New Roman" w:hAnsi="Times New Roman" w:cs="Times New Roman"/>
          <w:color w:val="000000"/>
          <w:kern w:val="0"/>
          <w14:ligatures w14:val="none"/>
        </w:rPr>
        <w:br/>
      </w:r>
      <w:r w:rsidRPr="00A04E9B">
        <w:rPr>
          <w:rFonts w:ascii="Times New Roman" w:eastAsia="Times New Roman" w:hAnsi="Times New Roman" w:cs="Times New Roman"/>
          <w:b/>
          <w:bCs/>
          <w:color w:val="000000"/>
          <w:kern w:val="0"/>
          <w14:ligatures w14:val="none"/>
        </w:rPr>
        <w:t>si la vida es sufrimiento, entonces todo lo que protege la vida es sospechoso por encubrir el mal</w:t>
      </w:r>
      <w:r w:rsidRPr="00A04E9B">
        <w:rPr>
          <w:rFonts w:ascii="Times New Roman" w:eastAsia="Times New Roman" w:hAnsi="Times New Roman" w:cs="Times New Roman"/>
          <w:color w:val="000000"/>
          <w:kern w:val="0"/>
          <w14:ligatures w14:val="none"/>
        </w:rPr>
        <w:t>.</w:t>
      </w:r>
    </w:p>
    <w:p w14:paraId="6E024BDB" w14:textId="77777777" w:rsidR="00A04E9B" w:rsidRPr="00A04E9B" w:rsidRDefault="00A04E9B" w:rsidP="00A04E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4E9B">
        <w:rPr>
          <w:rFonts w:ascii="Times New Roman" w:eastAsia="Times New Roman" w:hAnsi="Times New Roman" w:cs="Times New Roman"/>
          <w:b/>
          <w:bCs/>
          <w:color w:val="000000"/>
          <w:kern w:val="0"/>
          <w:sz w:val="27"/>
          <w:szCs w:val="27"/>
          <w14:ligatures w14:val="none"/>
        </w:rPr>
        <w:t>2.2. Psicologización del mal y victimización del inocente</w:t>
      </w:r>
    </w:p>
    <w:p w14:paraId="692510C2"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lastRenderedPageBreak/>
        <w:t>Lo psicótico surge cuando esta visión se presenta como </w:t>
      </w:r>
      <w:r w:rsidRPr="00A04E9B">
        <w:rPr>
          <w:rFonts w:ascii="Times New Roman" w:eastAsia="Times New Roman" w:hAnsi="Times New Roman" w:cs="Times New Roman"/>
          <w:i/>
          <w:iCs/>
          <w:color w:val="000000"/>
          <w:kern w:val="0"/>
          <w14:ligatures w14:val="none"/>
        </w:rPr>
        <w:t>revelación</w:t>
      </w:r>
      <w:r w:rsidRPr="00A04E9B">
        <w:rPr>
          <w:rFonts w:ascii="Times New Roman" w:eastAsia="Times New Roman" w:hAnsi="Times New Roman" w:cs="Times New Roman"/>
          <w:color w:val="000000"/>
          <w:kern w:val="0"/>
          <w14:ligatures w14:val="none"/>
        </w:rPr>
        <w:t>, y quienes no la adoptan son tratados como ingenuos que “no han despertado”. El inocente es convertido en objetivo de reeducación, manipulación o destrucción simbólica. Es lo que Freud (1913) llamó la necesidad de “matar al padre”, pero que aquí se aplica no al padre simbólico, sino a toda estructura vital.</w:t>
      </w:r>
    </w:p>
    <w:p w14:paraId="4E00DA96" w14:textId="77777777" w:rsidR="00A04E9B" w:rsidRPr="00A04E9B" w:rsidRDefault="00A04E9B" w:rsidP="00A04E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4E9B">
        <w:rPr>
          <w:rFonts w:ascii="Times New Roman" w:eastAsia="Times New Roman" w:hAnsi="Times New Roman" w:cs="Times New Roman"/>
          <w:b/>
          <w:bCs/>
          <w:color w:val="000000"/>
          <w:kern w:val="0"/>
          <w:sz w:val="27"/>
          <w:szCs w:val="27"/>
          <w14:ligatures w14:val="none"/>
        </w:rPr>
        <w:t>2.3. El odio a la condición: cuerpo, psique, familia, mundo</w:t>
      </w:r>
    </w:p>
    <w:p w14:paraId="11CE8CDA"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La psicosis moral interpreta cualquier expresión de la condición humana —el cuerpo vulnerable, la mente limitada, la experiencia emocional, la familia, el cosmos finito— como traición. Esta lectura totalizante transforma la finitud en indignidad, y la precariedad en mal ontológico.</w:t>
      </w:r>
    </w:p>
    <w:p w14:paraId="3BFE514D" w14:textId="77777777" w:rsidR="00A04E9B" w:rsidRPr="00A04E9B" w:rsidRDefault="006B7789" w:rsidP="00A04E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6DBB8A6">
          <v:rect id="_x0000_i1031" alt="" style="width:468pt;height:.05pt;mso-width-percent:0;mso-height-percent:0;mso-width-percent:0;mso-height-percent:0" o:hralign="center" o:hrstd="t" o:hr="t" fillcolor="#a0a0a0" stroked="f"/>
        </w:pict>
      </w:r>
    </w:p>
    <w:p w14:paraId="2681C31A" w14:textId="77777777" w:rsidR="00A04E9B" w:rsidRPr="00A04E9B" w:rsidRDefault="00A04E9B" w:rsidP="00A04E9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04E9B">
        <w:rPr>
          <w:rFonts w:ascii="Times New Roman" w:eastAsia="Times New Roman" w:hAnsi="Times New Roman" w:cs="Times New Roman"/>
          <w:b/>
          <w:bCs/>
          <w:color w:val="000000"/>
          <w:kern w:val="36"/>
          <w:sz w:val="48"/>
          <w:szCs w:val="48"/>
          <w14:ligatures w14:val="none"/>
        </w:rPr>
        <w:t>3. Raíces del pensamiento “vida = mal”: genealogía moderna</w:t>
      </w:r>
    </w:p>
    <w:p w14:paraId="5B2684E6" w14:textId="77777777" w:rsidR="00A04E9B" w:rsidRPr="00A04E9B" w:rsidRDefault="00A04E9B" w:rsidP="00A04E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4E9B">
        <w:rPr>
          <w:rFonts w:ascii="Times New Roman" w:eastAsia="Times New Roman" w:hAnsi="Times New Roman" w:cs="Times New Roman"/>
          <w:b/>
          <w:bCs/>
          <w:color w:val="000000"/>
          <w:kern w:val="0"/>
          <w:sz w:val="27"/>
          <w:szCs w:val="27"/>
          <w14:ligatures w14:val="none"/>
        </w:rPr>
        <w:t>3.1. Schopenhauer: el mundo como voluntad dolorosa</w:t>
      </w:r>
    </w:p>
    <w:p w14:paraId="6FC55E31"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Para Schopenhauer (1818), vivir es desear, y desear es sufrir. El único alivio es la suspensión de la voluntad, cercana a la nada. Su tesis inaugura la visión metafísica de la vida como error. Sin embargo, su antropología ignora que el querer humano no es ciego, sino estructurado por inteligibilidad, algo que la metafísica hylotráxica rectifica al reconocer que el deseo es iluminativo, no opaco.</w:t>
      </w:r>
    </w:p>
    <w:p w14:paraId="01BB7A8F" w14:textId="77777777" w:rsidR="00A04E9B" w:rsidRPr="00A04E9B" w:rsidRDefault="00A04E9B" w:rsidP="00A04E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4E9B">
        <w:rPr>
          <w:rFonts w:ascii="Times New Roman" w:eastAsia="Times New Roman" w:hAnsi="Times New Roman" w:cs="Times New Roman"/>
          <w:b/>
          <w:bCs/>
          <w:color w:val="000000"/>
          <w:kern w:val="0"/>
          <w:sz w:val="27"/>
          <w:szCs w:val="27"/>
          <w14:ligatures w14:val="none"/>
        </w:rPr>
        <w:t>3.2. Nietzsche: el nihilismo como destino</w:t>
      </w:r>
    </w:p>
    <w:p w14:paraId="10598410"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Nietzsche (1888) diagnosticó la enfermedad nihilista, pero su respuesta —crear valores sin fundamento— termina replicando la psicosis que critica: si no hay bienes objetivos, toda afirmación vital es una ficción voluntarista.</w:t>
      </w:r>
    </w:p>
    <w:p w14:paraId="552C118F" w14:textId="77777777" w:rsidR="00A04E9B" w:rsidRPr="00A04E9B" w:rsidRDefault="00A04E9B" w:rsidP="00A04E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4E9B">
        <w:rPr>
          <w:rFonts w:ascii="Times New Roman" w:eastAsia="Times New Roman" w:hAnsi="Times New Roman" w:cs="Times New Roman"/>
          <w:b/>
          <w:bCs/>
          <w:color w:val="000000"/>
          <w:kern w:val="0"/>
          <w:sz w:val="27"/>
          <w:szCs w:val="27"/>
          <w14:ligatures w14:val="none"/>
        </w:rPr>
        <w:t>3.3. Existencialismo: el absurdo como origen de sentido</w:t>
      </w:r>
    </w:p>
    <w:p w14:paraId="16AA9130"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Camus (1942) proclama que no hay sentido objetivo, solo resistencia al sinsentido. Sartre (1943) define al hombre como “condenado a la libertad”. Ambos convierten la contingencia en tragedia ontológica.</w:t>
      </w:r>
    </w:p>
    <w:p w14:paraId="2890AA0B" w14:textId="77777777" w:rsidR="00A04E9B" w:rsidRPr="00A04E9B" w:rsidRDefault="00A04E9B" w:rsidP="00A04E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4E9B">
        <w:rPr>
          <w:rFonts w:ascii="Times New Roman" w:eastAsia="Times New Roman" w:hAnsi="Times New Roman" w:cs="Times New Roman"/>
          <w:b/>
          <w:bCs/>
          <w:color w:val="000000"/>
          <w:kern w:val="0"/>
          <w:sz w:val="27"/>
          <w:szCs w:val="27"/>
          <w14:ligatures w14:val="none"/>
        </w:rPr>
        <w:t>3.4. Freud y el instinto de muerte</w:t>
      </w:r>
    </w:p>
    <w:p w14:paraId="50D82609"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La pulsión de muerte (Freud, 1920) genera un imaginario en el cual la destrucción es tan esencial como la vida. Esto sirve de base cultural a movimientos que legitiman la agresión como autenticidad.</w:t>
      </w:r>
    </w:p>
    <w:p w14:paraId="0F381066" w14:textId="77777777" w:rsidR="00A04E9B" w:rsidRPr="00A04E9B" w:rsidRDefault="00A04E9B" w:rsidP="00A04E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4E9B">
        <w:rPr>
          <w:rFonts w:ascii="Times New Roman" w:eastAsia="Times New Roman" w:hAnsi="Times New Roman" w:cs="Times New Roman"/>
          <w:b/>
          <w:bCs/>
          <w:color w:val="000000"/>
          <w:kern w:val="0"/>
          <w:sz w:val="27"/>
          <w:szCs w:val="27"/>
          <w14:ligatures w14:val="none"/>
        </w:rPr>
        <w:t>3.5. Marx y la violencia dialéctica</w:t>
      </w:r>
    </w:p>
    <w:p w14:paraId="74D9C675"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lastRenderedPageBreak/>
        <w:t>Marx (1867) convierte la historia en un proceso en el que la vida humana es material para un fin superior, justificando el sacrificio y la anulación de individuos.</w:t>
      </w:r>
    </w:p>
    <w:p w14:paraId="619F798D" w14:textId="77777777" w:rsidR="00A04E9B" w:rsidRPr="00A04E9B" w:rsidRDefault="00A04E9B" w:rsidP="00A04E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4E9B">
        <w:rPr>
          <w:rFonts w:ascii="Times New Roman" w:eastAsia="Times New Roman" w:hAnsi="Times New Roman" w:cs="Times New Roman"/>
          <w:b/>
          <w:bCs/>
          <w:color w:val="000000"/>
          <w:kern w:val="0"/>
          <w:sz w:val="27"/>
          <w:szCs w:val="27"/>
          <w14:ligatures w14:val="none"/>
        </w:rPr>
        <w:t>3.6. Anarco-capitalismo y nihilismo social</w:t>
      </w:r>
    </w:p>
    <w:p w14:paraId="3E070A96"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El anarco-capitalismo extremo, al negar toda forma comunitaria, termina concibiendo la vida social como estorbo para la voluntad individual, lo cual reproduce el aislamiento nihilista.</w:t>
      </w:r>
    </w:p>
    <w:p w14:paraId="2F2DF9B4" w14:textId="77777777" w:rsidR="00A04E9B" w:rsidRPr="00A04E9B" w:rsidRDefault="006B7789" w:rsidP="00A04E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3F06235">
          <v:rect id="_x0000_i1030" alt="" style="width:468pt;height:.05pt;mso-width-percent:0;mso-height-percent:0;mso-width-percent:0;mso-height-percent:0" o:hralign="center" o:hrstd="t" o:hr="t" fillcolor="#a0a0a0" stroked="f"/>
        </w:pict>
      </w:r>
    </w:p>
    <w:p w14:paraId="11D146BC" w14:textId="77777777" w:rsidR="00A04E9B" w:rsidRPr="00A04E9B" w:rsidRDefault="00A04E9B" w:rsidP="00A04E9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04E9B">
        <w:rPr>
          <w:rFonts w:ascii="Times New Roman" w:eastAsia="Times New Roman" w:hAnsi="Times New Roman" w:cs="Times New Roman"/>
          <w:b/>
          <w:bCs/>
          <w:color w:val="000000"/>
          <w:kern w:val="36"/>
          <w:sz w:val="48"/>
          <w:szCs w:val="48"/>
          <w14:ligatures w14:val="none"/>
        </w:rPr>
        <w:t>4. La irracionalidad formal de estas doctrinas</w:t>
      </w:r>
    </w:p>
    <w:p w14:paraId="249353B2" w14:textId="77777777" w:rsidR="00A04E9B" w:rsidRPr="00A04E9B" w:rsidRDefault="00A04E9B" w:rsidP="00A04E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4E9B">
        <w:rPr>
          <w:rFonts w:ascii="Times New Roman" w:eastAsia="Times New Roman" w:hAnsi="Times New Roman" w:cs="Times New Roman"/>
          <w:b/>
          <w:bCs/>
          <w:color w:val="000000"/>
          <w:kern w:val="0"/>
          <w:sz w:val="27"/>
          <w:szCs w:val="27"/>
          <w14:ligatures w14:val="none"/>
        </w:rPr>
        <w:t>4.1. Autocontradicción lógica</w:t>
      </w:r>
    </w:p>
    <w:p w14:paraId="42FE8C63"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Si la vida es mal absoluto, cualquier teoría que declara ese mal es también producto del mal, por lo que su contenido carecería de validez objetiva. Schopenhauer, Nietzsche y Camus, al afirmar que todo sentido es ilusión, se autorefutan:</w:t>
      </w:r>
      <w:r w:rsidRPr="00A04E9B">
        <w:rPr>
          <w:rFonts w:ascii="Times New Roman" w:eastAsia="Times New Roman" w:hAnsi="Times New Roman" w:cs="Times New Roman"/>
          <w:color w:val="000000"/>
          <w:kern w:val="0"/>
          <w14:ligatures w14:val="none"/>
        </w:rPr>
        <w:br/>
      </w:r>
      <w:r w:rsidRPr="00A04E9B">
        <w:rPr>
          <w:rFonts w:ascii="Times New Roman" w:eastAsia="Times New Roman" w:hAnsi="Times New Roman" w:cs="Times New Roman"/>
          <w:b/>
          <w:bCs/>
          <w:color w:val="000000"/>
          <w:kern w:val="0"/>
          <w14:ligatures w14:val="none"/>
        </w:rPr>
        <w:t>si todo sentido es falso, entonces también lo es la afirmación “la vida es un mal”</w:t>
      </w:r>
      <w:r w:rsidRPr="00A04E9B">
        <w:rPr>
          <w:rFonts w:ascii="Times New Roman" w:eastAsia="Times New Roman" w:hAnsi="Times New Roman" w:cs="Times New Roman"/>
          <w:color w:val="000000"/>
          <w:kern w:val="0"/>
          <w14:ligatures w14:val="none"/>
        </w:rPr>
        <w:t>.</w:t>
      </w:r>
    </w:p>
    <w:p w14:paraId="3A5C78B3" w14:textId="77777777" w:rsidR="00A04E9B" w:rsidRPr="00A04E9B" w:rsidRDefault="00A04E9B" w:rsidP="00A04E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4E9B">
        <w:rPr>
          <w:rFonts w:ascii="Times New Roman" w:eastAsia="Times New Roman" w:hAnsi="Times New Roman" w:cs="Times New Roman"/>
          <w:b/>
          <w:bCs/>
          <w:color w:val="000000"/>
          <w:kern w:val="0"/>
          <w:sz w:val="27"/>
          <w:szCs w:val="27"/>
          <w14:ligatures w14:val="none"/>
        </w:rPr>
        <w:t>4.2. El absurdo como criterio moral</w:t>
      </w:r>
    </w:p>
    <w:p w14:paraId="088F307D"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Las filosofías del absurdo terminan sustituyendo el bien por coherencia interna del sufrimiento: se valora aquello que confirma la desesperación, y se rechaza lo que apunta a sentido.</w:t>
      </w:r>
    </w:p>
    <w:p w14:paraId="7843ED7E" w14:textId="77777777" w:rsidR="00A04E9B" w:rsidRPr="00A04E9B" w:rsidRDefault="00A04E9B" w:rsidP="00A04E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4E9B">
        <w:rPr>
          <w:rFonts w:ascii="Times New Roman" w:eastAsia="Times New Roman" w:hAnsi="Times New Roman" w:cs="Times New Roman"/>
          <w:b/>
          <w:bCs/>
          <w:color w:val="000000"/>
          <w:kern w:val="0"/>
          <w:sz w:val="27"/>
          <w:szCs w:val="27"/>
          <w14:ligatures w14:val="none"/>
        </w:rPr>
        <w:t>4.3. El problema del criterio nihilista</w:t>
      </w:r>
    </w:p>
    <w:p w14:paraId="60FB02EB"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El nihilista necesita un valor para juzgar al mundo; si no existen valores, no puede juzgarlo. Esta paradoja es insoslayable.</w:t>
      </w:r>
    </w:p>
    <w:p w14:paraId="18ABCCDC" w14:textId="77777777" w:rsidR="00A04E9B" w:rsidRPr="00A04E9B" w:rsidRDefault="006B7789" w:rsidP="00A04E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1A29472">
          <v:rect id="_x0000_i1029" alt="" style="width:468pt;height:.05pt;mso-width-percent:0;mso-height-percent:0;mso-width-percent:0;mso-height-percent:0" o:hralign="center" o:hrstd="t" o:hr="t" fillcolor="#a0a0a0" stroked="f"/>
        </w:pict>
      </w:r>
    </w:p>
    <w:p w14:paraId="11DEE572" w14:textId="77777777" w:rsidR="00A04E9B" w:rsidRPr="00A04E9B" w:rsidRDefault="00A04E9B" w:rsidP="00A04E9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04E9B">
        <w:rPr>
          <w:rFonts w:ascii="Times New Roman" w:eastAsia="Times New Roman" w:hAnsi="Times New Roman" w:cs="Times New Roman"/>
          <w:b/>
          <w:bCs/>
          <w:color w:val="000000"/>
          <w:kern w:val="36"/>
          <w:sz w:val="48"/>
          <w:szCs w:val="48"/>
          <w14:ligatures w14:val="none"/>
        </w:rPr>
        <w:t>5. La psicotización de los inocentes</w:t>
      </w:r>
    </w:p>
    <w:p w14:paraId="2F1511DE"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La psicosis moral genera prácticas de:</w:t>
      </w:r>
    </w:p>
    <w:p w14:paraId="565B481D" w14:textId="77777777" w:rsidR="00A04E9B" w:rsidRPr="00A04E9B" w:rsidRDefault="00A04E9B" w:rsidP="00A04E9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Manipulación cognitiva (“despierta a la verdad del sufrimiento universal”).</w:t>
      </w:r>
    </w:p>
    <w:p w14:paraId="06EA71E8" w14:textId="77777777" w:rsidR="00A04E9B" w:rsidRPr="00A04E9B" w:rsidRDefault="00A04E9B" w:rsidP="00A04E9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Deslegitimación del gozo (“la alegría es autoengaño”).</w:t>
      </w:r>
    </w:p>
    <w:p w14:paraId="6B207DF0" w14:textId="77777777" w:rsidR="00A04E9B" w:rsidRPr="00A04E9B" w:rsidRDefault="00A04E9B" w:rsidP="00A04E9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Inversión del amor (“amar es dependencia”).</w:t>
      </w:r>
    </w:p>
    <w:p w14:paraId="588C43EA" w14:textId="77777777" w:rsidR="00A04E9B" w:rsidRPr="00A04E9B" w:rsidRDefault="00A04E9B" w:rsidP="00A04E9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Glorificación de la violencia (“el conflicto es emancipación”).</w:t>
      </w:r>
    </w:p>
    <w:p w14:paraId="18165F39"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Estas dinámicas producen sujetos fragmentados, incapaces de confiar en la bondad fundamental de la existencia.</w:t>
      </w:r>
    </w:p>
    <w:p w14:paraId="2D4FC0CF" w14:textId="77777777" w:rsidR="00A04E9B" w:rsidRPr="00A04E9B" w:rsidRDefault="006B7789" w:rsidP="00A04E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F7456D0">
          <v:rect id="_x0000_i1028" alt="" style="width:468pt;height:.05pt;mso-width-percent:0;mso-height-percent:0;mso-width-percent:0;mso-height-percent:0" o:hralign="center" o:hrstd="t" o:hr="t" fillcolor="#a0a0a0" stroked="f"/>
        </w:pict>
      </w:r>
    </w:p>
    <w:p w14:paraId="67A49A64" w14:textId="77777777" w:rsidR="00A04E9B" w:rsidRPr="00A04E9B" w:rsidRDefault="00A04E9B" w:rsidP="00A04E9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04E9B">
        <w:rPr>
          <w:rFonts w:ascii="Times New Roman" w:eastAsia="Times New Roman" w:hAnsi="Times New Roman" w:cs="Times New Roman"/>
          <w:b/>
          <w:bCs/>
          <w:color w:val="000000"/>
          <w:kern w:val="36"/>
          <w:sz w:val="48"/>
          <w:szCs w:val="48"/>
          <w14:ligatures w14:val="none"/>
        </w:rPr>
        <w:lastRenderedPageBreak/>
        <w:t>6. Fundamentación hylotráxica contra el nihilismo</w:t>
      </w:r>
    </w:p>
    <w:p w14:paraId="30C3DC53"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Aquí entra la capa central del ensayo: </w:t>
      </w:r>
      <w:r w:rsidRPr="00A04E9B">
        <w:rPr>
          <w:rFonts w:ascii="Times New Roman" w:eastAsia="Times New Roman" w:hAnsi="Times New Roman" w:cs="Times New Roman"/>
          <w:b/>
          <w:bCs/>
          <w:color w:val="000000"/>
          <w:kern w:val="0"/>
          <w14:ligatures w14:val="none"/>
        </w:rPr>
        <w:t>la vida como condición formal luminosa</w:t>
      </w:r>
      <w:r w:rsidRPr="00A04E9B">
        <w:rPr>
          <w:rFonts w:ascii="Times New Roman" w:eastAsia="Times New Roman" w:hAnsi="Times New Roman" w:cs="Times New Roman"/>
          <w:color w:val="000000"/>
          <w:kern w:val="0"/>
          <w14:ligatures w14:val="none"/>
        </w:rPr>
        <w:t>.</w:t>
      </w:r>
    </w:p>
    <w:p w14:paraId="64E82881" w14:textId="77777777" w:rsidR="00A04E9B" w:rsidRPr="00A04E9B" w:rsidRDefault="00A04E9B" w:rsidP="00A04E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4E9B">
        <w:rPr>
          <w:rFonts w:ascii="Times New Roman" w:eastAsia="Times New Roman" w:hAnsi="Times New Roman" w:cs="Times New Roman"/>
          <w:b/>
          <w:bCs/>
          <w:color w:val="000000"/>
          <w:kern w:val="0"/>
          <w:sz w:val="27"/>
          <w:szCs w:val="27"/>
          <w14:ligatures w14:val="none"/>
        </w:rPr>
        <w:t>6.1. La hylotráxis como evidencia de sentido</w:t>
      </w:r>
    </w:p>
    <w:p w14:paraId="3966BA3A"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La teoría hylotráxica sostiene que la conciencia es una forma de luz encarnada en materia que se auto-ilumina al comprender. La vida no es accidente ni mal:</w:t>
      </w:r>
      <w:r w:rsidRPr="00A04E9B">
        <w:rPr>
          <w:rFonts w:ascii="Times New Roman" w:eastAsia="Times New Roman" w:hAnsi="Times New Roman" w:cs="Times New Roman"/>
          <w:color w:val="000000"/>
          <w:kern w:val="0"/>
          <w14:ligatures w14:val="none"/>
        </w:rPr>
        <w:br/>
      </w:r>
      <w:r w:rsidRPr="00A04E9B">
        <w:rPr>
          <w:rFonts w:ascii="Times New Roman" w:eastAsia="Times New Roman" w:hAnsi="Times New Roman" w:cs="Times New Roman"/>
          <w:b/>
          <w:bCs/>
          <w:color w:val="000000"/>
          <w:kern w:val="0"/>
          <w14:ligatures w14:val="none"/>
        </w:rPr>
        <w:t>es el medio en que la inteligibilidad se actualiza y se comparte</w:t>
      </w:r>
      <w:r w:rsidRPr="00A04E9B">
        <w:rPr>
          <w:rFonts w:ascii="Times New Roman" w:eastAsia="Times New Roman" w:hAnsi="Times New Roman" w:cs="Times New Roman"/>
          <w:color w:val="000000"/>
          <w:kern w:val="0"/>
          <w14:ligatures w14:val="none"/>
        </w:rPr>
        <w:t>.</w:t>
      </w:r>
    </w:p>
    <w:p w14:paraId="350302FC" w14:textId="77777777" w:rsidR="00A04E9B" w:rsidRPr="00A04E9B" w:rsidRDefault="00A04E9B" w:rsidP="00A04E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4E9B">
        <w:rPr>
          <w:rFonts w:ascii="Times New Roman" w:eastAsia="Times New Roman" w:hAnsi="Times New Roman" w:cs="Times New Roman"/>
          <w:b/>
          <w:bCs/>
          <w:color w:val="000000"/>
          <w:kern w:val="0"/>
          <w:sz w:val="27"/>
          <w:szCs w:val="27"/>
          <w14:ligatures w14:val="none"/>
        </w:rPr>
        <w:t>6.2. El error eidético del nihilismo</w:t>
      </w:r>
    </w:p>
    <w:p w14:paraId="4F965510"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El nihilismo surge al tomar la finitud como negación del sentido, cuando en verdad la finitud es condición de aparición del sentido.</w:t>
      </w:r>
      <w:r w:rsidRPr="00A04E9B">
        <w:rPr>
          <w:rFonts w:ascii="Times New Roman" w:eastAsia="Times New Roman" w:hAnsi="Times New Roman" w:cs="Times New Roman"/>
          <w:color w:val="000000"/>
          <w:kern w:val="0"/>
          <w14:ligatures w14:val="none"/>
        </w:rPr>
        <w:br/>
        <w:t>No se puede amar lo infinito sin haber habitado lo finito.</w:t>
      </w:r>
    </w:p>
    <w:p w14:paraId="554A26A5" w14:textId="77777777" w:rsidR="00A04E9B" w:rsidRPr="00A04E9B" w:rsidRDefault="00A04E9B" w:rsidP="00A04E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4E9B">
        <w:rPr>
          <w:rFonts w:ascii="Times New Roman" w:eastAsia="Times New Roman" w:hAnsi="Times New Roman" w:cs="Times New Roman"/>
          <w:b/>
          <w:bCs/>
          <w:color w:val="000000"/>
          <w:kern w:val="0"/>
          <w:sz w:val="27"/>
          <w:szCs w:val="27"/>
          <w14:ligatures w14:val="none"/>
        </w:rPr>
        <w:t>6.3. La vida como don de aparición</w:t>
      </w:r>
    </w:p>
    <w:p w14:paraId="18B96DFF"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La hylotráxis reconoce:</w:t>
      </w:r>
    </w:p>
    <w:p w14:paraId="1CBD9240" w14:textId="77777777" w:rsidR="00A04E9B" w:rsidRPr="00A04E9B" w:rsidRDefault="00A04E9B" w:rsidP="00A04E9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Todo comprender es participación de la luz en el ser.</w:t>
      </w:r>
    </w:p>
    <w:p w14:paraId="2FA06716" w14:textId="77777777" w:rsidR="00A04E9B" w:rsidRPr="00A04E9B" w:rsidRDefault="00A04E9B" w:rsidP="00A04E9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Todo desear es apertura hacia el bien inteligible.</w:t>
      </w:r>
    </w:p>
    <w:p w14:paraId="379F758F" w14:textId="77777777" w:rsidR="00A04E9B" w:rsidRPr="00A04E9B" w:rsidRDefault="00A04E9B" w:rsidP="00A04E9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Todo sufrimiento es índice de que la vida importa.</w:t>
      </w:r>
    </w:p>
    <w:p w14:paraId="7B6DBC1F"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Ninguna de estas realidades puede ser mal en sentido absoluto.</w:t>
      </w:r>
    </w:p>
    <w:p w14:paraId="3BD6F4E9" w14:textId="77777777" w:rsidR="00A04E9B" w:rsidRPr="00A04E9B" w:rsidRDefault="00A04E9B" w:rsidP="00A04E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4E9B">
        <w:rPr>
          <w:rFonts w:ascii="Times New Roman" w:eastAsia="Times New Roman" w:hAnsi="Times New Roman" w:cs="Times New Roman"/>
          <w:b/>
          <w:bCs/>
          <w:color w:val="000000"/>
          <w:kern w:val="0"/>
          <w:sz w:val="27"/>
          <w:szCs w:val="27"/>
          <w14:ligatures w14:val="none"/>
        </w:rPr>
        <w:t>6.4. La muerte no es bien sino límite</w:t>
      </w:r>
    </w:p>
    <w:p w14:paraId="407E6E07"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Para la hylotráxis, la muerte no destruye el sentido; lo enmarca. La psicosis moral, en cambio, la idealiza.</w:t>
      </w:r>
    </w:p>
    <w:p w14:paraId="4D4FE526" w14:textId="77777777" w:rsidR="00A04E9B" w:rsidRPr="00A04E9B" w:rsidRDefault="00A04E9B" w:rsidP="00A04E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4E9B">
        <w:rPr>
          <w:rFonts w:ascii="Times New Roman" w:eastAsia="Times New Roman" w:hAnsi="Times New Roman" w:cs="Times New Roman"/>
          <w:b/>
          <w:bCs/>
          <w:color w:val="000000"/>
          <w:kern w:val="0"/>
          <w:sz w:val="27"/>
          <w:szCs w:val="27"/>
          <w14:ligatures w14:val="none"/>
        </w:rPr>
        <w:t>6.5. La existencia como acto de comunión</w:t>
      </w:r>
    </w:p>
    <w:p w14:paraId="0D16BE25"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La hylotráxis reconoce que la vida es red relacional: familia, comunidad, cuerpo, mundo, historia. Todo es participación de una luz común.</w:t>
      </w:r>
      <w:r w:rsidRPr="00A04E9B">
        <w:rPr>
          <w:rFonts w:ascii="Times New Roman" w:eastAsia="Times New Roman" w:hAnsi="Times New Roman" w:cs="Times New Roman"/>
          <w:color w:val="000000"/>
          <w:kern w:val="0"/>
          <w14:ligatures w14:val="none"/>
        </w:rPr>
        <w:br/>
        <w:t>El nihilista destruye estas redes porque no las comprende.</w:t>
      </w:r>
    </w:p>
    <w:p w14:paraId="3C895507" w14:textId="77777777" w:rsidR="00A04E9B" w:rsidRPr="00A04E9B" w:rsidRDefault="006B7789" w:rsidP="00A04E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8ED6796">
          <v:rect id="_x0000_i1027" alt="" style="width:468pt;height:.05pt;mso-width-percent:0;mso-height-percent:0;mso-width-percent:0;mso-height-percent:0" o:hralign="center" o:hrstd="t" o:hr="t" fillcolor="#a0a0a0" stroked="f"/>
        </w:pict>
      </w:r>
    </w:p>
    <w:p w14:paraId="7B8FC13C" w14:textId="77777777" w:rsidR="00A04E9B" w:rsidRPr="00A04E9B" w:rsidRDefault="00A04E9B" w:rsidP="00A04E9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04E9B">
        <w:rPr>
          <w:rFonts w:ascii="Times New Roman" w:eastAsia="Times New Roman" w:hAnsi="Times New Roman" w:cs="Times New Roman"/>
          <w:b/>
          <w:bCs/>
          <w:color w:val="000000"/>
          <w:kern w:val="36"/>
          <w:sz w:val="48"/>
          <w:szCs w:val="48"/>
          <w14:ligatures w14:val="none"/>
        </w:rPr>
        <w:t>7. Objeciones metafísicas contundentes</w:t>
      </w:r>
    </w:p>
    <w:p w14:paraId="54F516E1" w14:textId="77777777" w:rsidR="00A04E9B" w:rsidRPr="00A04E9B" w:rsidRDefault="00A04E9B" w:rsidP="00A04E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4E9B">
        <w:rPr>
          <w:rFonts w:ascii="Times New Roman" w:eastAsia="Times New Roman" w:hAnsi="Times New Roman" w:cs="Times New Roman"/>
          <w:b/>
          <w:bCs/>
          <w:color w:val="000000"/>
          <w:kern w:val="0"/>
          <w:sz w:val="27"/>
          <w:szCs w:val="27"/>
          <w14:ligatures w14:val="none"/>
        </w:rPr>
        <w:lastRenderedPageBreak/>
        <w:t>7.1. Objeción ontológica</w:t>
      </w:r>
    </w:p>
    <w:p w14:paraId="597B87C9"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Si la vida fuera mal, la nada sería mejor. Esto implica afirmar que un no-ser es superior al ser, lo cual contradice el principio de razón suficiente (Leibniz, 1710).</w:t>
      </w:r>
    </w:p>
    <w:p w14:paraId="7314FFE2" w14:textId="77777777" w:rsidR="00A04E9B" w:rsidRPr="00A04E9B" w:rsidRDefault="00A04E9B" w:rsidP="00A04E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4E9B">
        <w:rPr>
          <w:rFonts w:ascii="Times New Roman" w:eastAsia="Times New Roman" w:hAnsi="Times New Roman" w:cs="Times New Roman"/>
          <w:b/>
          <w:bCs/>
          <w:color w:val="000000"/>
          <w:kern w:val="0"/>
          <w:sz w:val="27"/>
          <w:szCs w:val="27"/>
          <w14:ligatures w14:val="none"/>
        </w:rPr>
        <w:t>7.2. Objeción axiológica</w:t>
      </w:r>
    </w:p>
    <w:p w14:paraId="07A98774"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Para llamar “mal” a la vida se requiere un criterio de valor; este criterio solo puede brotar de la vida misma.</w:t>
      </w:r>
    </w:p>
    <w:p w14:paraId="0DBE147B" w14:textId="77777777" w:rsidR="00A04E9B" w:rsidRPr="00A04E9B" w:rsidRDefault="00A04E9B" w:rsidP="00A04E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4E9B">
        <w:rPr>
          <w:rFonts w:ascii="Times New Roman" w:eastAsia="Times New Roman" w:hAnsi="Times New Roman" w:cs="Times New Roman"/>
          <w:b/>
          <w:bCs/>
          <w:color w:val="000000"/>
          <w:kern w:val="0"/>
          <w:sz w:val="27"/>
          <w:szCs w:val="27"/>
          <w14:ligatures w14:val="none"/>
        </w:rPr>
        <w:t>7.3. Objeción fenomenológica</w:t>
      </w:r>
    </w:p>
    <w:p w14:paraId="50247405"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La experiencia humana atestigua que el gozo, la amistad, el amor, la belleza y la verdad existen como bienes inmediatos.</w:t>
      </w:r>
    </w:p>
    <w:p w14:paraId="2183CCA5" w14:textId="77777777" w:rsidR="00A04E9B" w:rsidRPr="00A04E9B" w:rsidRDefault="00A04E9B" w:rsidP="00A04E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4E9B">
        <w:rPr>
          <w:rFonts w:ascii="Times New Roman" w:eastAsia="Times New Roman" w:hAnsi="Times New Roman" w:cs="Times New Roman"/>
          <w:b/>
          <w:bCs/>
          <w:color w:val="000000"/>
          <w:kern w:val="0"/>
          <w:sz w:val="27"/>
          <w:szCs w:val="27"/>
          <w14:ligatures w14:val="none"/>
        </w:rPr>
        <w:t>7.4. Objeción hylotráxica</w:t>
      </w:r>
    </w:p>
    <w:p w14:paraId="584E8DD6"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La conciencia como luz participada no puede provenir de un mal absoluto, porque el mal absoluto no tiene potencia iluminativa.</w:t>
      </w:r>
    </w:p>
    <w:p w14:paraId="58A437E9" w14:textId="77777777" w:rsidR="00A04E9B" w:rsidRPr="00A04E9B" w:rsidRDefault="006B7789" w:rsidP="00A04E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64965DB">
          <v:rect id="_x0000_i1026" alt="" style="width:468pt;height:.05pt;mso-width-percent:0;mso-height-percent:0;mso-width-percent:0;mso-height-percent:0" o:hralign="center" o:hrstd="t" o:hr="t" fillcolor="#a0a0a0" stroked="f"/>
        </w:pict>
      </w:r>
    </w:p>
    <w:p w14:paraId="2F01D870" w14:textId="77777777" w:rsidR="00A04E9B" w:rsidRPr="00A04E9B" w:rsidRDefault="00A04E9B" w:rsidP="00A04E9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04E9B">
        <w:rPr>
          <w:rFonts w:ascii="Times New Roman" w:eastAsia="Times New Roman" w:hAnsi="Times New Roman" w:cs="Times New Roman"/>
          <w:b/>
          <w:bCs/>
          <w:color w:val="000000"/>
          <w:kern w:val="36"/>
          <w:sz w:val="48"/>
          <w:szCs w:val="48"/>
          <w14:ligatures w14:val="none"/>
        </w:rPr>
        <w:t>8. Conclusión: la vida como fundamento del bien</w:t>
      </w:r>
    </w:p>
    <w:p w14:paraId="74D8FEA6"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El ensayo sostiene que la modernidad nihilista es una psicosis moral que distorsiona la realidad y ataca a los inocentes. Pero también muestra que esta visión colapsa lógicamente, psicológicamente y metafísicamente. Desde la hylotráxis, la vida aparece no como un mal, sino como el acto en el que la luz se hace visible, comprendida y compartida. La esperanza no está en la nada, sino en la plenitud.</w:t>
      </w:r>
    </w:p>
    <w:p w14:paraId="43AE2ED3" w14:textId="77777777" w:rsidR="00A04E9B" w:rsidRPr="00A04E9B" w:rsidRDefault="006B7789" w:rsidP="00A04E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CD30B13">
          <v:rect id="_x0000_i1025" alt="" style="width:468pt;height:.05pt;mso-width-percent:0;mso-height-percent:0;mso-width-percent:0;mso-height-percent:0" o:hralign="center" o:hrstd="t" o:hr="t" fillcolor="#a0a0a0" stroked="f"/>
        </w:pict>
      </w:r>
    </w:p>
    <w:p w14:paraId="0C472C8C" w14:textId="77777777" w:rsidR="00A04E9B" w:rsidRPr="00A04E9B" w:rsidRDefault="00A04E9B" w:rsidP="00A04E9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04E9B">
        <w:rPr>
          <w:rFonts w:ascii="Times New Roman" w:eastAsia="Times New Roman" w:hAnsi="Times New Roman" w:cs="Times New Roman"/>
          <w:b/>
          <w:bCs/>
          <w:color w:val="000000"/>
          <w:kern w:val="36"/>
          <w:sz w:val="48"/>
          <w:szCs w:val="48"/>
          <w14:ligatures w14:val="none"/>
        </w:rPr>
        <w:t>Bibliografía (selección Harvard)</w:t>
      </w:r>
    </w:p>
    <w:p w14:paraId="2184ACCF" w14:textId="77777777" w:rsidR="00A04E9B" w:rsidRPr="00A04E9B" w:rsidRDefault="00A04E9B" w:rsidP="00A04E9B">
      <w:pPr>
        <w:spacing w:before="100" w:beforeAutospacing="1" w:after="100" w:afterAutospacing="1" w:line="240" w:lineRule="auto"/>
        <w:rPr>
          <w:rFonts w:ascii="Times New Roman" w:eastAsia="Times New Roman" w:hAnsi="Times New Roman" w:cs="Times New Roman"/>
          <w:color w:val="000000"/>
          <w:kern w:val="0"/>
          <w14:ligatures w14:val="none"/>
        </w:rPr>
      </w:pPr>
      <w:r w:rsidRPr="00A04E9B">
        <w:rPr>
          <w:rFonts w:ascii="Times New Roman" w:eastAsia="Times New Roman" w:hAnsi="Times New Roman" w:cs="Times New Roman"/>
          <w:color w:val="000000"/>
          <w:kern w:val="0"/>
          <w14:ligatures w14:val="none"/>
        </w:rPr>
        <w:t>Camus, A. (1942). </w:t>
      </w:r>
      <w:r w:rsidRPr="00A04E9B">
        <w:rPr>
          <w:rFonts w:ascii="Times New Roman" w:eastAsia="Times New Roman" w:hAnsi="Times New Roman" w:cs="Times New Roman"/>
          <w:i/>
          <w:iCs/>
          <w:color w:val="000000"/>
          <w:kern w:val="0"/>
          <w14:ligatures w14:val="none"/>
        </w:rPr>
        <w:t>Le Mythe de Sisyphe</w:t>
      </w:r>
      <w:r w:rsidRPr="00A04E9B">
        <w:rPr>
          <w:rFonts w:ascii="Times New Roman" w:eastAsia="Times New Roman" w:hAnsi="Times New Roman" w:cs="Times New Roman"/>
          <w:color w:val="000000"/>
          <w:kern w:val="0"/>
          <w14:ligatures w14:val="none"/>
        </w:rPr>
        <w:t>. Paris: Gallimard.</w:t>
      </w:r>
      <w:r w:rsidRPr="00A04E9B">
        <w:rPr>
          <w:rFonts w:ascii="Times New Roman" w:eastAsia="Times New Roman" w:hAnsi="Times New Roman" w:cs="Times New Roman"/>
          <w:color w:val="000000"/>
          <w:kern w:val="0"/>
          <w14:ligatures w14:val="none"/>
        </w:rPr>
        <w:br/>
        <w:t>Foucault, M. (1975). </w:t>
      </w:r>
      <w:r w:rsidRPr="00A04E9B">
        <w:rPr>
          <w:rFonts w:ascii="Times New Roman" w:eastAsia="Times New Roman" w:hAnsi="Times New Roman" w:cs="Times New Roman"/>
          <w:i/>
          <w:iCs/>
          <w:color w:val="000000"/>
          <w:kern w:val="0"/>
          <w14:ligatures w14:val="none"/>
        </w:rPr>
        <w:t>Surveiller et punir</w:t>
      </w:r>
      <w:r w:rsidRPr="00A04E9B">
        <w:rPr>
          <w:rFonts w:ascii="Times New Roman" w:eastAsia="Times New Roman" w:hAnsi="Times New Roman" w:cs="Times New Roman"/>
          <w:color w:val="000000"/>
          <w:kern w:val="0"/>
          <w14:ligatures w14:val="none"/>
        </w:rPr>
        <w:t>. Paris: Gallimard.</w:t>
      </w:r>
      <w:r w:rsidRPr="00A04E9B">
        <w:rPr>
          <w:rFonts w:ascii="Times New Roman" w:eastAsia="Times New Roman" w:hAnsi="Times New Roman" w:cs="Times New Roman"/>
          <w:color w:val="000000"/>
          <w:kern w:val="0"/>
          <w14:ligatures w14:val="none"/>
        </w:rPr>
        <w:br/>
        <w:t>Freud, S. (1913). </w:t>
      </w:r>
      <w:r w:rsidRPr="00A04E9B">
        <w:rPr>
          <w:rFonts w:ascii="Times New Roman" w:eastAsia="Times New Roman" w:hAnsi="Times New Roman" w:cs="Times New Roman"/>
          <w:i/>
          <w:iCs/>
          <w:color w:val="000000"/>
          <w:kern w:val="0"/>
          <w14:ligatures w14:val="none"/>
        </w:rPr>
        <w:t>Totem und Tabu</w:t>
      </w:r>
      <w:r w:rsidRPr="00A04E9B">
        <w:rPr>
          <w:rFonts w:ascii="Times New Roman" w:eastAsia="Times New Roman" w:hAnsi="Times New Roman" w:cs="Times New Roman"/>
          <w:color w:val="000000"/>
          <w:kern w:val="0"/>
          <w14:ligatures w14:val="none"/>
        </w:rPr>
        <w:t>. Leipzig: Heller.</w:t>
      </w:r>
      <w:r w:rsidRPr="00A04E9B">
        <w:rPr>
          <w:rFonts w:ascii="Times New Roman" w:eastAsia="Times New Roman" w:hAnsi="Times New Roman" w:cs="Times New Roman"/>
          <w:color w:val="000000"/>
          <w:kern w:val="0"/>
          <w14:ligatures w14:val="none"/>
        </w:rPr>
        <w:br/>
        <w:t>Freud, S. (1920). </w:t>
      </w:r>
      <w:r w:rsidRPr="00A04E9B">
        <w:rPr>
          <w:rFonts w:ascii="Times New Roman" w:eastAsia="Times New Roman" w:hAnsi="Times New Roman" w:cs="Times New Roman"/>
          <w:i/>
          <w:iCs/>
          <w:color w:val="000000"/>
          <w:kern w:val="0"/>
          <w14:ligatures w14:val="none"/>
        </w:rPr>
        <w:t>Jenseits des Lustprinzips</w:t>
      </w:r>
      <w:r w:rsidRPr="00A04E9B">
        <w:rPr>
          <w:rFonts w:ascii="Times New Roman" w:eastAsia="Times New Roman" w:hAnsi="Times New Roman" w:cs="Times New Roman"/>
          <w:color w:val="000000"/>
          <w:kern w:val="0"/>
          <w14:ligatures w14:val="none"/>
        </w:rPr>
        <w:t>. Vienna: Internationaler Psychoanalytischer Verlag.</w:t>
      </w:r>
      <w:r w:rsidRPr="00A04E9B">
        <w:rPr>
          <w:rFonts w:ascii="Times New Roman" w:eastAsia="Times New Roman" w:hAnsi="Times New Roman" w:cs="Times New Roman"/>
          <w:color w:val="000000"/>
          <w:kern w:val="0"/>
          <w14:ligatures w14:val="none"/>
        </w:rPr>
        <w:br/>
        <w:t>Leibniz, G. W. (1710). </w:t>
      </w:r>
      <w:r w:rsidRPr="00A04E9B">
        <w:rPr>
          <w:rFonts w:ascii="Times New Roman" w:eastAsia="Times New Roman" w:hAnsi="Times New Roman" w:cs="Times New Roman"/>
          <w:i/>
          <w:iCs/>
          <w:color w:val="000000"/>
          <w:kern w:val="0"/>
          <w14:ligatures w14:val="none"/>
        </w:rPr>
        <w:t>Essais de Théodicée</w:t>
      </w:r>
      <w:r w:rsidRPr="00A04E9B">
        <w:rPr>
          <w:rFonts w:ascii="Times New Roman" w:eastAsia="Times New Roman" w:hAnsi="Times New Roman" w:cs="Times New Roman"/>
          <w:color w:val="000000"/>
          <w:kern w:val="0"/>
          <w14:ligatures w14:val="none"/>
        </w:rPr>
        <w:t>. Amsterdam: Desbordes.</w:t>
      </w:r>
      <w:r w:rsidRPr="00A04E9B">
        <w:rPr>
          <w:rFonts w:ascii="Times New Roman" w:eastAsia="Times New Roman" w:hAnsi="Times New Roman" w:cs="Times New Roman"/>
          <w:color w:val="000000"/>
          <w:kern w:val="0"/>
          <w14:ligatures w14:val="none"/>
        </w:rPr>
        <w:br/>
        <w:t>Marx, K. (1844). </w:t>
      </w:r>
      <w:r w:rsidRPr="00A04E9B">
        <w:rPr>
          <w:rFonts w:ascii="Times New Roman" w:eastAsia="Times New Roman" w:hAnsi="Times New Roman" w:cs="Times New Roman"/>
          <w:i/>
          <w:iCs/>
          <w:color w:val="000000"/>
          <w:kern w:val="0"/>
          <w14:ligatures w14:val="none"/>
        </w:rPr>
        <w:t>Manuskripte</w:t>
      </w:r>
      <w:r w:rsidRPr="00A04E9B">
        <w:rPr>
          <w:rFonts w:ascii="Times New Roman" w:eastAsia="Times New Roman" w:hAnsi="Times New Roman" w:cs="Times New Roman"/>
          <w:color w:val="000000"/>
          <w:kern w:val="0"/>
          <w14:ligatures w14:val="none"/>
        </w:rPr>
        <w:t>.</w:t>
      </w:r>
      <w:r w:rsidRPr="00A04E9B">
        <w:rPr>
          <w:rFonts w:ascii="Times New Roman" w:eastAsia="Times New Roman" w:hAnsi="Times New Roman" w:cs="Times New Roman"/>
          <w:color w:val="000000"/>
          <w:kern w:val="0"/>
          <w14:ligatures w14:val="none"/>
        </w:rPr>
        <w:br/>
        <w:t>Marx, K. (1867). </w:t>
      </w:r>
      <w:r w:rsidRPr="00A04E9B">
        <w:rPr>
          <w:rFonts w:ascii="Times New Roman" w:eastAsia="Times New Roman" w:hAnsi="Times New Roman" w:cs="Times New Roman"/>
          <w:i/>
          <w:iCs/>
          <w:color w:val="000000"/>
          <w:kern w:val="0"/>
          <w14:ligatures w14:val="none"/>
        </w:rPr>
        <w:t>Das Kapital</w:t>
      </w:r>
      <w:r w:rsidRPr="00A04E9B">
        <w:rPr>
          <w:rFonts w:ascii="Times New Roman" w:eastAsia="Times New Roman" w:hAnsi="Times New Roman" w:cs="Times New Roman"/>
          <w:color w:val="000000"/>
          <w:kern w:val="0"/>
          <w14:ligatures w14:val="none"/>
        </w:rPr>
        <w:t>. Hamburg: Otto Meissner.</w:t>
      </w:r>
      <w:r w:rsidRPr="00A04E9B">
        <w:rPr>
          <w:rFonts w:ascii="Times New Roman" w:eastAsia="Times New Roman" w:hAnsi="Times New Roman" w:cs="Times New Roman"/>
          <w:color w:val="000000"/>
          <w:kern w:val="0"/>
          <w14:ligatures w14:val="none"/>
        </w:rPr>
        <w:br/>
        <w:t>Nietzsche, F. (1887). </w:t>
      </w:r>
      <w:r w:rsidRPr="00A04E9B">
        <w:rPr>
          <w:rFonts w:ascii="Times New Roman" w:eastAsia="Times New Roman" w:hAnsi="Times New Roman" w:cs="Times New Roman"/>
          <w:i/>
          <w:iCs/>
          <w:color w:val="000000"/>
          <w:kern w:val="0"/>
          <w14:ligatures w14:val="none"/>
        </w:rPr>
        <w:t>Zur Genealogie der Moral</w:t>
      </w:r>
      <w:r w:rsidRPr="00A04E9B">
        <w:rPr>
          <w:rFonts w:ascii="Times New Roman" w:eastAsia="Times New Roman" w:hAnsi="Times New Roman" w:cs="Times New Roman"/>
          <w:color w:val="000000"/>
          <w:kern w:val="0"/>
          <w14:ligatures w14:val="none"/>
        </w:rPr>
        <w:t>. Leipzig: Naumann.</w:t>
      </w:r>
      <w:r w:rsidRPr="00A04E9B">
        <w:rPr>
          <w:rFonts w:ascii="Times New Roman" w:eastAsia="Times New Roman" w:hAnsi="Times New Roman" w:cs="Times New Roman"/>
          <w:color w:val="000000"/>
          <w:kern w:val="0"/>
          <w14:ligatures w14:val="none"/>
        </w:rPr>
        <w:br/>
      </w:r>
      <w:r w:rsidRPr="00A04E9B">
        <w:rPr>
          <w:rFonts w:ascii="Times New Roman" w:eastAsia="Times New Roman" w:hAnsi="Times New Roman" w:cs="Times New Roman"/>
          <w:color w:val="000000"/>
          <w:kern w:val="0"/>
          <w14:ligatures w14:val="none"/>
        </w:rPr>
        <w:lastRenderedPageBreak/>
        <w:t>Nietzsche, F. (1888). </w:t>
      </w:r>
      <w:r w:rsidRPr="00A04E9B">
        <w:rPr>
          <w:rFonts w:ascii="Times New Roman" w:eastAsia="Times New Roman" w:hAnsi="Times New Roman" w:cs="Times New Roman"/>
          <w:i/>
          <w:iCs/>
          <w:color w:val="000000"/>
          <w:kern w:val="0"/>
          <w14:ligatures w14:val="none"/>
        </w:rPr>
        <w:t>Der Wille zur Macht</w:t>
      </w:r>
      <w:r w:rsidRPr="00A04E9B">
        <w:rPr>
          <w:rFonts w:ascii="Times New Roman" w:eastAsia="Times New Roman" w:hAnsi="Times New Roman" w:cs="Times New Roman"/>
          <w:color w:val="000000"/>
          <w:kern w:val="0"/>
          <w14:ligatures w14:val="none"/>
        </w:rPr>
        <w:t> (fragmentos póstumos).</w:t>
      </w:r>
      <w:r w:rsidRPr="00A04E9B">
        <w:rPr>
          <w:rFonts w:ascii="Times New Roman" w:eastAsia="Times New Roman" w:hAnsi="Times New Roman" w:cs="Times New Roman"/>
          <w:color w:val="000000"/>
          <w:kern w:val="0"/>
          <w14:ligatures w14:val="none"/>
        </w:rPr>
        <w:br/>
        <w:t>Sartre, J.-P. (1943). </w:t>
      </w:r>
      <w:r w:rsidRPr="00A04E9B">
        <w:rPr>
          <w:rFonts w:ascii="Times New Roman" w:eastAsia="Times New Roman" w:hAnsi="Times New Roman" w:cs="Times New Roman"/>
          <w:i/>
          <w:iCs/>
          <w:color w:val="000000"/>
          <w:kern w:val="0"/>
          <w14:ligatures w14:val="none"/>
        </w:rPr>
        <w:t>L’Être et le Néant</w:t>
      </w:r>
      <w:r w:rsidRPr="00A04E9B">
        <w:rPr>
          <w:rFonts w:ascii="Times New Roman" w:eastAsia="Times New Roman" w:hAnsi="Times New Roman" w:cs="Times New Roman"/>
          <w:color w:val="000000"/>
          <w:kern w:val="0"/>
          <w14:ligatures w14:val="none"/>
        </w:rPr>
        <w:t>. Paris: Gallimard.</w:t>
      </w:r>
      <w:r w:rsidRPr="00A04E9B">
        <w:rPr>
          <w:rFonts w:ascii="Times New Roman" w:eastAsia="Times New Roman" w:hAnsi="Times New Roman" w:cs="Times New Roman"/>
          <w:color w:val="000000"/>
          <w:kern w:val="0"/>
          <w14:ligatures w14:val="none"/>
        </w:rPr>
        <w:br/>
        <w:t>Schopenhauer, A. (1818). </w:t>
      </w:r>
      <w:r w:rsidRPr="00A04E9B">
        <w:rPr>
          <w:rFonts w:ascii="Times New Roman" w:eastAsia="Times New Roman" w:hAnsi="Times New Roman" w:cs="Times New Roman"/>
          <w:i/>
          <w:iCs/>
          <w:color w:val="000000"/>
          <w:kern w:val="0"/>
          <w14:ligatures w14:val="none"/>
        </w:rPr>
        <w:t>Die Welt als Wille und Vorstellung</w:t>
      </w:r>
      <w:r w:rsidRPr="00A04E9B">
        <w:rPr>
          <w:rFonts w:ascii="Times New Roman" w:eastAsia="Times New Roman" w:hAnsi="Times New Roman" w:cs="Times New Roman"/>
          <w:color w:val="000000"/>
          <w:kern w:val="0"/>
          <w14:ligatures w14:val="none"/>
        </w:rPr>
        <w:t>. Leipzig: Brockhaus.</w:t>
      </w:r>
      <w:r w:rsidRPr="00A04E9B">
        <w:rPr>
          <w:rFonts w:ascii="Times New Roman" w:eastAsia="Times New Roman" w:hAnsi="Times New Roman" w:cs="Times New Roman"/>
          <w:color w:val="000000"/>
          <w:kern w:val="0"/>
          <w14:ligatures w14:val="none"/>
        </w:rPr>
        <w:br/>
        <w:t>Zapffe, P. (1933). </w:t>
      </w:r>
      <w:r w:rsidRPr="00A04E9B">
        <w:rPr>
          <w:rFonts w:ascii="Times New Roman" w:eastAsia="Times New Roman" w:hAnsi="Times New Roman" w:cs="Times New Roman"/>
          <w:i/>
          <w:iCs/>
          <w:color w:val="000000"/>
          <w:kern w:val="0"/>
          <w14:ligatures w14:val="none"/>
        </w:rPr>
        <w:t>Den sidste Messias</w:t>
      </w:r>
      <w:r w:rsidRPr="00A04E9B">
        <w:rPr>
          <w:rFonts w:ascii="Times New Roman" w:eastAsia="Times New Roman" w:hAnsi="Times New Roman" w:cs="Times New Roman"/>
          <w:color w:val="000000"/>
          <w:kern w:val="0"/>
          <w14:ligatures w14:val="none"/>
        </w:rPr>
        <w:t>.</w:t>
      </w:r>
    </w:p>
    <w:p w14:paraId="56D5F72B" w14:textId="77777777" w:rsidR="00354789" w:rsidRDefault="00354789"/>
    <w:sectPr w:rsidR="00354789" w:rsidSect="00C44D93">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63C3F"/>
    <w:multiLevelType w:val="multilevel"/>
    <w:tmpl w:val="19F0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128E1"/>
    <w:multiLevelType w:val="multilevel"/>
    <w:tmpl w:val="EBF2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42608C"/>
    <w:multiLevelType w:val="multilevel"/>
    <w:tmpl w:val="6FC0A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3840DA"/>
    <w:multiLevelType w:val="multilevel"/>
    <w:tmpl w:val="5E8A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498048">
    <w:abstractNumId w:val="2"/>
  </w:num>
  <w:num w:numId="2" w16cid:durableId="1618609612">
    <w:abstractNumId w:val="0"/>
  </w:num>
  <w:num w:numId="3" w16cid:durableId="1382705462">
    <w:abstractNumId w:val="1"/>
  </w:num>
  <w:num w:numId="4" w16cid:durableId="861405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E9B"/>
    <w:rsid w:val="00091B23"/>
    <w:rsid w:val="00092D35"/>
    <w:rsid w:val="00354789"/>
    <w:rsid w:val="00465DC1"/>
    <w:rsid w:val="00557598"/>
    <w:rsid w:val="006B7789"/>
    <w:rsid w:val="0086667F"/>
    <w:rsid w:val="00A04E9B"/>
    <w:rsid w:val="00A813F7"/>
    <w:rsid w:val="00A855DD"/>
    <w:rsid w:val="00C1618E"/>
    <w:rsid w:val="00C44D93"/>
    <w:rsid w:val="00DF2688"/>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A77AF"/>
  <w15:chartTrackingRefBased/>
  <w15:docId w15:val="{17889D6F-DD93-F44B-9011-A75041D65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E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4E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4E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E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E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E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4E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4E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E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E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E9B"/>
    <w:rPr>
      <w:rFonts w:eastAsiaTheme="majorEastAsia" w:cstheme="majorBidi"/>
      <w:color w:val="272727" w:themeColor="text1" w:themeTint="D8"/>
    </w:rPr>
  </w:style>
  <w:style w:type="paragraph" w:styleId="Title">
    <w:name w:val="Title"/>
    <w:basedOn w:val="Normal"/>
    <w:next w:val="Normal"/>
    <w:link w:val="TitleChar"/>
    <w:uiPriority w:val="10"/>
    <w:qFormat/>
    <w:rsid w:val="00A04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E9B"/>
    <w:pPr>
      <w:spacing w:before="160"/>
      <w:jc w:val="center"/>
    </w:pPr>
    <w:rPr>
      <w:i/>
      <w:iCs/>
      <w:color w:val="404040" w:themeColor="text1" w:themeTint="BF"/>
    </w:rPr>
  </w:style>
  <w:style w:type="character" w:customStyle="1" w:styleId="QuoteChar">
    <w:name w:val="Quote Char"/>
    <w:basedOn w:val="DefaultParagraphFont"/>
    <w:link w:val="Quote"/>
    <w:uiPriority w:val="29"/>
    <w:rsid w:val="00A04E9B"/>
    <w:rPr>
      <w:i/>
      <w:iCs/>
      <w:color w:val="404040" w:themeColor="text1" w:themeTint="BF"/>
    </w:rPr>
  </w:style>
  <w:style w:type="paragraph" w:styleId="ListParagraph">
    <w:name w:val="List Paragraph"/>
    <w:basedOn w:val="Normal"/>
    <w:uiPriority w:val="34"/>
    <w:qFormat/>
    <w:rsid w:val="00A04E9B"/>
    <w:pPr>
      <w:ind w:left="720"/>
      <w:contextualSpacing/>
    </w:pPr>
  </w:style>
  <w:style w:type="character" w:styleId="IntenseEmphasis">
    <w:name w:val="Intense Emphasis"/>
    <w:basedOn w:val="DefaultParagraphFont"/>
    <w:uiPriority w:val="21"/>
    <w:qFormat/>
    <w:rsid w:val="00A04E9B"/>
    <w:rPr>
      <w:i/>
      <w:iCs/>
      <w:color w:val="0F4761" w:themeColor="accent1" w:themeShade="BF"/>
    </w:rPr>
  </w:style>
  <w:style w:type="paragraph" w:styleId="IntenseQuote">
    <w:name w:val="Intense Quote"/>
    <w:basedOn w:val="Normal"/>
    <w:next w:val="Normal"/>
    <w:link w:val="IntenseQuoteChar"/>
    <w:uiPriority w:val="30"/>
    <w:qFormat/>
    <w:rsid w:val="00A04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E9B"/>
    <w:rPr>
      <w:i/>
      <w:iCs/>
      <w:color w:val="0F4761" w:themeColor="accent1" w:themeShade="BF"/>
    </w:rPr>
  </w:style>
  <w:style w:type="character" w:styleId="IntenseReference">
    <w:name w:val="Intense Reference"/>
    <w:basedOn w:val="DefaultParagraphFont"/>
    <w:uiPriority w:val="32"/>
    <w:qFormat/>
    <w:rsid w:val="00A04E9B"/>
    <w:rPr>
      <w:b/>
      <w:bCs/>
      <w:smallCaps/>
      <w:color w:val="0F4761" w:themeColor="accent1" w:themeShade="BF"/>
      <w:spacing w:val="5"/>
    </w:rPr>
  </w:style>
  <w:style w:type="character" w:styleId="Strong">
    <w:name w:val="Strong"/>
    <w:basedOn w:val="DefaultParagraphFont"/>
    <w:uiPriority w:val="22"/>
    <w:qFormat/>
    <w:rsid w:val="00A04E9B"/>
    <w:rPr>
      <w:b/>
      <w:bCs/>
    </w:rPr>
  </w:style>
  <w:style w:type="character" w:styleId="Emphasis">
    <w:name w:val="Emphasis"/>
    <w:basedOn w:val="DefaultParagraphFont"/>
    <w:uiPriority w:val="20"/>
    <w:qFormat/>
    <w:rsid w:val="00A04E9B"/>
    <w:rPr>
      <w:i/>
      <w:iCs/>
    </w:rPr>
  </w:style>
  <w:style w:type="paragraph" w:styleId="NormalWeb">
    <w:name w:val="Normal (Web)"/>
    <w:basedOn w:val="Normal"/>
    <w:uiPriority w:val="99"/>
    <w:semiHidden/>
    <w:unhideWhenUsed/>
    <w:rsid w:val="00A04E9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04E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1663</Words>
  <Characters>9482</Characters>
  <Application>Microsoft Office Word</Application>
  <DocSecurity>0</DocSecurity>
  <Lines>79</Lines>
  <Paragraphs>22</Paragraphs>
  <ScaleCrop>false</ScaleCrop>
  <Company/>
  <LinksUpToDate>false</LinksUpToDate>
  <CharactersWithSpaces>11123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Ignacio Lavados Sepúlveda</dc:creator>
  <cp:keywords/>
  <dc:description/>
  <cp:lastModifiedBy>Tomás Ignacio Lavados Sepúlveda</cp:lastModifiedBy>
  <cp:revision>2</cp:revision>
  <dcterms:created xsi:type="dcterms:W3CDTF">2025-12-12T01:31:00Z</dcterms:created>
  <dcterms:modified xsi:type="dcterms:W3CDTF">2025-12-12T01:31:00Z</dcterms:modified>
</cp:coreProperties>
</file>