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D276B"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32"/>
          <w:szCs w:val="32"/>
          <w14:ligatures w14:val="none"/>
        </w:rPr>
      </w:pPr>
      <w:r w:rsidRPr="00857FC9">
        <w:rPr>
          <w:rFonts w:ascii="Times New Roman" w:eastAsia="Times New Roman" w:hAnsi="Times New Roman" w:cs="Times New Roman"/>
          <w:b/>
          <w:bCs/>
          <w:color w:val="000000"/>
          <w:kern w:val="0"/>
          <w:sz w:val="32"/>
          <w:szCs w:val="32"/>
          <w14:ligatures w14:val="none"/>
        </w:rPr>
        <w:t>La sofística como fundamento racional de la libertad: demostración del valor imperativo y universal de la razón democrática en la Antigüedad</w:t>
      </w:r>
    </w:p>
    <w:p w14:paraId="685E2755"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b/>
          <w:bCs/>
          <w:color w:val="000000"/>
          <w:kern w:val="0"/>
          <w:sz w:val="26"/>
          <w:szCs w:val="26"/>
          <w14:ligatures w14:val="none"/>
        </w:rPr>
        <w:t>Resumen</w:t>
      </w:r>
      <w:r w:rsidRPr="00857FC9">
        <w:rPr>
          <w:rFonts w:ascii="Times New Roman" w:eastAsia="Times New Roman" w:hAnsi="Times New Roman" w:cs="Times New Roman"/>
          <w:color w:val="000000"/>
          <w:kern w:val="0"/>
          <w:sz w:val="26"/>
          <w:szCs w:val="26"/>
          <w14:ligatures w14:val="none"/>
        </w:rPr>
        <w:br/>
        <w:t>En la Antigüedad, la esclavitud era una institución generalizada y casi nunca cuestionada filosóficamente. Sin embargo, existieron voces que cuestionaron su legitimidad moral y su fundamento natural. Este ensayo analiza cómo filósofos como Alcidamante, Antístenes, Diógenes de Sinope, Zenón de Citio, Séneca, Epicteto y algunos autores cristianos primitivos abordaron la esclavitud.</w:t>
      </w:r>
      <w:r w:rsidRPr="00857FC9">
        <w:rPr>
          <w:rFonts w:ascii="Times New Roman" w:eastAsia="Times New Roman" w:hAnsi="Times New Roman" w:cs="Times New Roman"/>
          <w:color w:val="000000"/>
          <w:kern w:val="0"/>
          <w:sz w:val="26"/>
          <w:szCs w:val="26"/>
          <w14:ligatures w14:val="none"/>
        </w:rPr>
        <w:br/>
        <w:t>Se sostiene que la crítica a la esclavitud anticipa la democracia como orden racional por excelencia, fundada en la libertad individual y colectiva, la tolerancia, la paz social y el pluralismo. La sofística, entendida como principio de igualdad democrática, constituye una pulsión teórica respecto de una verdad fundamental de la razón práctica: la obligación moral de organizar la sociedad de manera justa y libre. Esta idea tiene continuidad en la filosofía medieval, en pensadores como Tomás de Aquino y Guillermo de Ockham, en la ilustración (Montesquieu, Rousseau, Kant) y en los clásicos antiguos, mostrando que la sofística expresa un valor atemporal y universal. En este marco, la verdad teórica es secundaria respecto de la paz social, que pertenece a la razón práctica; por ello, los dogmas deben orientarse a la coexistencia pacífica, y toda dogmática teórica legítima surge de la deliberación democrática, libre, consensuada y formalmente cierta.</w:t>
      </w:r>
    </w:p>
    <w:p w14:paraId="7F17E4A2" w14:textId="77777777" w:rsidR="00857FC9" w:rsidRPr="00857FC9" w:rsidRDefault="003D0CEA" w:rsidP="00857FC9">
      <w:pPr>
        <w:spacing w:after="0" w:line="240" w:lineRule="auto"/>
        <w:rPr>
          <w:rFonts w:ascii="Times New Roman" w:eastAsia="Times New Roman" w:hAnsi="Times New Roman" w:cs="Times New Roman"/>
          <w:kern w:val="0"/>
          <w:sz w:val="26"/>
          <w:szCs w:val="26"/>
          <w14:ligatures w14:val="none"/>
        </w:rPr>
      </w:pPr>
      <w:r w:rsidRPr="003D0CEA">
        <w:rPr>
          <w:rFonts w:ascii="Times New Roman" w:eastAsia="Times New Roman" w:hAnsi="Times New Roman" w:cs="Times New Roman"/>
          <w:noProof/>
          <w:kern w:val="0"/>
          <w:sz w:val="26"/>
          <w:szCs w:val="26"/>
        </w:rPr>
        <w:pict w14:anchorId="2EDF1203">
          <v:rect id="_x0000_i1033" alt="" style="width:468pt;height:.05pt;mso-width-percent:0;mso-height-percent:0;mso-width-percent:0;mso-height-percent:0" o:hralign="center" o:hrstd="t" o:hr="t" fillcolor="#a0a0a0" stroked="f"/>
        </w:pict>
      </w:r>
    </w:p>
    <w:p w14:paraId="52AB0540"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b/>
          <w:bCs/>
          <w:color w:val="000000"/>
          <w:kern w:val="0"/>
          <w:sz w:val="26"/>
          <w:szCs w:val="26"/>
          <w14:ligatures w14:val="none"/>
        </w:rPr>
        <w:t>1. Introducción</w:t>
      </w:r>
      <w:r w:rsidRPr="00857FC9">
        <w:rPr>
          <w:rFonts w:ascii="Times New Roman" w:eastAsia="Times New Roman" w:hAnsi="Times New Roman" w:cs="Times New Roman"/>
          <w:color w:val="000000"/>
          <w:kern w:val="0"/>
          <w:sz w:val="26"/>
          <w:szCs w:val="26"/>
          <w14:ligatures w14:val="none"/>
        </w:rPr>
        <w:br/>
        <w:t>La esclavitud constituyó un pilar económico, social y político de la Antigüedad clásica, desde Grecia hasta Roma. Tanto en la filosofía como en la legislación, era aceptada como un hecho natural o necesario. Sin embargo, ciertas voces filosóficas elevaron la libertad y la igualdad como valores universales, cuestionando la legitimidad de la esclavitud y anticipando la democracia.</w:t>
      </w:r>
      <w:r w:rsidRPr="00857FC9">
        <w:rPr>
          <w:rFonts w:ascii="Times New Roman" w:eastAsia="Times New Roman" w:hAnsi="Times New Roman" w:cs="Times New Roman"/>
          <w:color w:val="000000"/>
          <w:kern w:val="0"/>
          <w:sz w:val="26"/>
          <w:szCs w:val="26"/>
          <w14:ligatures w14:val="none"/>
        </w:rPr>
        <w:br/>
        <w:t>La sofística, en este contexto, no solo enseñó la libertad individual, sino que ofreció un fundamento racional, imperativo y universal para la convivencia social. Este principio anticipa un orden democrático, donde la libertad, la tolerancia, la paz y el pluralismo son condiciones previas para el desarrollo de la razón teórica y la dogmática ética. Desde Aristóteles hasta Kant, se reconoce que la razón práctica exige la igualdad como principio moral universal, demostrando que la sofística tiene un valor imperativo y atemporal, guía de toda sociedad racional.</w:t>
      </w:r>
    </w:p>
    <w:p w14:paraId="05F53F65" w14:textId="77777777" w:rsidR="00857FC9" w:rsidRPr="00857FC9" w:rsidRDefault="003D0CEA" w:rsidP="00857FC9">
      <w:pPr>
        <w:spacing w:after="0" w:line="240" w:lineRule="auto"/>
        <w:rPr>
          <w:rFonts w:ascii="Times New Roman" w:eastAsia="Times New Roman" w:hAnsi="Times New Roman" w:cs="Times New Roman"/>
          <w:kern w:val="0"/>
          <w:sz w:val="26"/>
          <w:szCs w:val="26"/>
          <w14:ligatures w14:val="none"/>
        </w:rPr>
      </w:pPr>
      <w:r w:rsidRPr="003D0CEA">
        <w:rPr>
          <w:rFonts w:ascii="Times New Roman" w:eastAsia="Times New Roman" w:hAnsi="Times New Roman" w:cs="Times New Roman"/>
          <w:noProof/>
          <w:kern w:val="0"/>
          <w:sz w:val="26"/>
          <w:szCs w:val="26"/>
        </w:rPr>
        <w:pict w14:anchorId="7DE2C30E">
          <v:rect id="_x0000_i1032" alt="" style="width:468pt;height:.05pt;mso-width-percent:0;mso-height-percent:0;mso-width-percent:0;mso-height-percent:0" o:hralign="center" o:hrstd="t" o:hr="t" fillcolor="#a0a0a0" stroked="f"/>
        </w:pict>
      </w:r>
    </w:p>
    <w:p w14:paraId="2C8DC2AF"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b/>
          <w:bCs/>
          <w:color w:val="000000"/>
          <w:kern w:val="0"/>
          <w:sz w:val="26"/>
          <w:szCs w:val="26"/>
          <w14:ligatures w14:val="none"/>
        </w:rPr>
        <w:lastRenderedPageBreak/>
        <w:t>2. Alcidamante y la libertad natural</w:t>
      </w:r>
      <w:r w:rsidRPr="00857FC9">
        <w:rPr>
          <w:rFonts w:ascii="Times New Roman" w:eastAsia="Times New Roman" w:hAnsi="Times New Roman" w:cs="Times New Roman"/>
          <w:color w:val="000000"/>
          <w:kern w:val="0"/>
          <w:sz w:val="26"/>
          <w:szCs w:val="26"/>
          <w14:ligatures w14:val="none"/>
        </w:rPr>
        <w:br/>
        <w:t>Alcidamante, sofista del siglo IV a.C., fue la primera voz conocida que rechazó explícitamente la idea de esclavitud natural. Según Aristóteles (Retórica 1373b):</w:t>
      </w:r>
    </w:p>
    <w:p w14:paraId="557287DE"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“La naturaleza no ha hecho a nadie esclavo.”</w:t>
      </w:r>
    </w:p>
    <w:p w14:paraId="25D336C0"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Esta afirmación establece que la libertad es un derecho universal. La sofística de Alcidamante anticipa un orden democrático basado en igualdad, tolerancia y coexistencia pacífica, mostrando que la racionalidad ética y política son inseparables. Su principio es una pulsión teórica de la razón práctica, que encuentra eco en la Edad Media, con Tomás de Aquino, quien afirmaba que la ley natural reconoce la dignidad y libertad de todo ser humano, y en la Ilustración, donde Kant sistematiza que la libertad es un deber moral universal.</w:t>
      </w:r>
    </w:p>
    <w:p w14:paraId="32E83B31" w14:textId="77777777" w:rsidR="00857FC9" w:rsidRPr="00857FC9" w:rsidRDefault="003D0CEA" w:rsidP="00857FC9">
      <w:pPr>
        <w:spacing w:after="0" w:line="240" w:lineRule="auto"/>
        <w:rPr>
          <w:rFonts w:ascii="Times New Roman" w:eastAsia="Times New Roman" w:hAnsi="Times New Roman" w:cs="Times New Roman"/>
          <w:kern w:val="0"/>
          <w:sz w:val="26"/>
          <w:szCs w:val="26"/>
          <w14:ligatures w14:val="none"/>
        </w:rPr>
      </w:pPr>
      <w:r w:rsidRPr="003D0CEA">
        <w:rPr>
          <w:rFonts w:ascii="Times New Roman" w:eastAsia="Times New Roman" w:hAnsi="Times New Roman" w:cs="Times New Roman"/>
          <w:noProof/>
          <w:kern w:val="0"/>
          <w:sz w:val="26"/>
          <w:szCs w:val="26"/>
        </w:rPr>
        <w:pict w14:anchorId="217AE4CE">
          <v:rect id="_x0000_i1031" alt="" style="width:468pt;height:.05pt;mso-width-percent:0;mso-height-percent:0;mso-width-percent:0;mso-height-percent:0" o:hralign="center" o:hrstd="t" o:hr="t" fillcolor="#a0a0a0" stroked="f"/>
        </w:pict>
      </w:r>
    </w:p>
    <w:p w14:paraId="12339FAB"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b/>
          <w:bCs/>
          <w:color w:val="000000"/>
          <w:kern w:val="0"/>
          <w:sz w:val="26"/>
          <w:szCs w:val="26"/>
          <w14:ligatures w14:val="none"/>
        </w:rPr>
        <w:t>3. Los cínicos: Antístenes y Diógenes</w:t>
      </w:r>
      <w:r w:rsidRPr="00857FC9">
        <w:rPr>
          <w:rFonts w:ascii="Times New Roman" w:eastAsia="Times New Roman" w:hAnsi="Times New Roman" w:cs="Times New Roman"/>
          <w:color w:val="000000"/>
          <w:kern w:val="0"/>
          <w:sz w:val="26"/>
          <w:szCs w:val="26"/>
          <w14:ligatures w14:val="none"/>
        </w:rPr>
        <w:br/>
        <w:t>Los cínicos critican la dependencia y la jerarquía social:</w:t>
      </w:r>
    </w:p>
    <w:p w14:paraId="618126EE" w14:textId="77777777" w:rsidR="00857FC9" w:rsidRPr="00857FC9" w:rsidRDefault="00857FC9" w:rsidP="00857FC9">
      <w:pPr>
        <w:numPr>
          <w:ilvl w:val="0"/>
          <w:numId w:val="4"/>
        </w:num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b/>
          <w:bCs/>
          <w:color w:val="000000"/>
          <w:kern w:val="0"/>
          <w:sz w:val="26"/>
          <w:szCs w:val="26"/>
          <w14:ligatures w14:val="none"/>
        </w:rPr>
        <w:t>Antístenes</w:t>
      </w:r>
      <w:r w:rsidRPr="00857FC9">
        <w:rPr>
          <w:rFonts w:ascii="Times New Roman" w:eastAsia="Times New Roman" w:hAnsi="Times New Roman" w:cs="Times New Roman"/>
          <w:color w:val="000000"/>
          <w:kern w:val="0"/>
          <w:sz w:val="26"/>
          <w:szCs w:val="26"/>
          <w14:ligatures w14:val="none"/>
        </w:rPr>
        <w:t>: “El sabio es libre, aunque mil veces se le encadene; el necio es esclavo, aunque gobierne a miles.”</w:t>
      </w:r>
    </w:p>
    <w:p w14:paraId="32BF6110" w14:textId="77777777" w:rsidR="00857FC9" w:rsidRPr="00857FC9" w:rsidRDefault="00857FC9" w:rsidP="00857FC9">
      <w:pPr>
        <w:numPr>
          <w:ilvl w:val="0"/>
          <w:numId w:val="4"/>
        </w:num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b/>
          <w:bCs/>
          <w:color w:val="000000"/>
          <w:kern w:val="0"/>
          <w:sz w:val="26"/>
          <w:szCs w:val="26"/>
          <w14:ligatures w14:val="none"/>
        </w:rPr>
        <w:t>Diógenes de Sinope</w:t>
      </w:r>
      <w:r w:rsidRPr="00857FC9">
        <w:rPr>
          <w:rFonts w:ascii="Times New Roman" w:eastAsia="Times New Roman" w:hAnsi="Times New Roman" w:cs="Times New Roman"/>
          <w:color w:val="000000"/>
          <w:kern w:val="0"/>
          <w:sz w:val="26"/>
          <w:szCs w:val="26"/>
          <w14:ligatures w14:val="none"/>
        </w:rPr>
        <w:t>: Ridiculiza la noción de amo y esclavo, destacando que la verdadera propiedad reside en el cuerpo y la virtud.</w:t>
      </w:r>
    </w:p>
    <w:p w14:paraId="72FB6C2A"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La libertad interior se convierte en criterio ético central, mientras que la paz social y la democracia se reconocen como condiciones previas a la verdad teórica. Esto refuerza la idea de que la sofística no es solo un método retórico, sino un principio racional y universal, pulsión teórica de la razón práctica que organiza la sociedad humana y asegura la convivencia justa. Rousseau y Kant retomarán este principio al sostener que la igualdad y la autonomía son bases de toda comunidad moral legítima.</w:t>
      </w:r>
    </w:p>
    <w:p w14:paraId="327180CB" w14:textId="77777777" w:rsidR="00857FC9" w:rsidRPr="00857FC9" w:rsidRDefault="003D0CEA" w:rsidP="00857FC9">
      <w:pPr>
        <w:spacing w:after="0" w:line="240" w:lineRule="auto"/>
        <w:rPr>
          <w:rFonts w:ascii="Times New Roman" w:eastAsia="Times New Roman" w:hAnsi="Times New Roman" w:cs="Times New Roman"/>
          <w:kern w:val="0"/>
          <w:sz w:val="26"/>
          <w:szCs w:val="26"/>
          <w14:ligatures w14:val="none"/>
        </w:rPr>
      </w:pPr>
      <w:r w:rsidRPr="003D0CEA">
        <w:rPr>
          <w:rFonts w:ascii="Times New Roman" w:eastAsia="Times New Roman" w:hAnsi="Times New Roman" w:cs="Times New Roman"/>
          <w:noProof/>
          <w:kern w:val="0"/>
          <w:sz w:val="26"/>
          <w:szCs w:val="26"/>
        </w:rPr>
        <w:pict w14:anchorId="017E9750">
          <v:rect id="_x0000_i1030" alt="" style="width:468pt;height:.05pt;mso-width-percent:0;mso-height-percent:0;mso-width-percent:0;mso-height-percent:0" o:hralign="center" o:hrstd="t" o:hr="t" fillcolor="#a0a0a0" stroked="f"/>
        </w:pict>
      </w:r>
    </w:p>
    <w:p w14:paraId="4766B70D"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b/>
          <w:bCs/>
          <w:color w:val="000000"/>
          <w:kern w:val="0"/>
          <w:sz w:val="26"/>
          <w:szCs w:val="26"/>
          <w14:ligatures w14:val="none"/>
        </w:rPr>
        <w:t>4. Zenón de Citio y el estoicismo temprano</w:t>
      </w:r>
      <w:r w:rsidRPr="00857FC9">
        <w:rPr>
          <w:rFonts w:ascii="Times New Roman" w:eastAsia="Times New Roman" w:hAnsi="Times New Roman" w:cs="Times New Roman"/>
          <w:color w:val="000000"/>
          <w:kern w:val="0"/>
          <w:sz w:val="26"/>
          <w:szCs w:val="26"/>
          <w14:ligatures w14:val="none"/>
        </w:rPr>
        <w:br/>
        <w:t>Zenón propone una comunidad ideal sin esclavos ni jerarquías injustas, donde todos tengan igualdad moral y acceso a la virtud. Este ideal refleja la racionalidad práctica de la democracia, mostrando que la libertad, la igualdad y la paz social son condiciones previas para que la razón teórica despliegue sus valores. La sofística se revela aquí como imperativo universal, pues sus principios son aplicables a cualquier sociedad que busque justicia, libertad y racionalidad. Los filósofos medievales y la Ilustración retomarán esta lógica: la igualdad práctica es condición de posibilidad de la razón teórica y del orden jurídico legítimo.</w:t>
      </w:r>
    </w:p>
    <w:p w14:paraId="4A893641" w14:textId="77777777" w:rsidR="00857FC9" w:rsidRPr="00857FC9" w:rsidRDefault="003D0CEA" w:rsidP="00857FC9">
      <w:pPr>
        <w:spacing w:after="0" w:line="240" w:lineRule="auto"/>
        <w:rPr>
          <w:rFonts w:ascii="Times New Roman" w:eastAsia="Times New Roman" w:hAnsi="Times New Roman" w:cs="Times New Roman"/>
          <w:kern w:val="0"/>
          <w:sz w:val="26"/>
          <w:szCs w:val="26"/>
          <w14:ligatures w14:val="none"/>
        </w:rPr>
      </w:pPr>
      <w:r w:rsidRPr="003D0CEA">
        <w:rPr>
          <w:rFonts w:ascii="Times New Roman" w:eastAsia="Times New Roman" w:hAnsi="Times New Roman" w:cs="Times New Roman"/>
          <w:noProof/>
          <w:kern w:val="0"/>
          <w:sz w:val="26"/>
          <w:szCs w:val="26"/>
        </w:rPr>
        <w:lastRenderedPageBreak/>
        <w:pict w14:anchorId="0F68682D">
          <v:rect id="_x0000_i1029" alt="" style="width:468pt;height:.05pt;mso-width-percent:0;mso-height-percent:0;mso-width-percent:0;mso-height-percent:0" o:hralign="center" o:hrstd="t" o:hr="t" fillcolor="#a0a0a0" stroked="f"/>
        </w:pict>
      </w:r>
    </w:p>
    <w:p w14:paraId="0CF32EDD"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b/>
          <w:bCs/>
          <w:color w:val="000000"/>
          <w:kern w:val="0"/>
          <w:sz w:val="26"/>
          <w:szCs w:val="26"/>
          <w14:ligatures w14:val="none"/>
        </w:rPr>
        <w:t>5. Séneca y Epicteto: la crítica moral en Roma</w:t>
      </w:r>
      <w:r w:rsidRPr="00857FC9">
        <w:rPr>
          <w:rFonts w:ascii="Times New Roman" w:eastAsia="Times New Roman" w:hAnsi="Times New Roman" w:cs="Times New Roman"/>
          <w:color w:val="000000"/>
          <w:kern w:val="0"/>
          <w:sz w:val="26"/>
          <w:szCs w:val="26"/>
          <w14:ligatures w14:val="none"/>
        </w:rPr>
        <w:br/>
        <w:t>En Roma, profundamente esclavista, Séneca y Epicteto afirmaron:</w:t>
      </w:r>
    </w:p>
    <w:p w14:paraId="68598031" w14:textId="77777777" w:rsidR="00857FC9" w:rsidRPr="00857FC9" w:rsidRDefault="00857FC9" w:rsidP="00857FC9">
      <w:pPr>
        <w:numPr>
          <w:ilvl w:val="0"/>
          <w:numId w:val="5"/>
        </w:num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b/>
          <w:bCs/>
          <w:color w:val="000000"/>
          <w:kern w:val="0"/>
          <w:sz w:val="26"/>
          <w:szCs w:val="26"/>
          <w14:ligatures w14:val="none"/>
        </w:rPr>
        <w:t>Séneca</w:t>
      </w:r>
      <w:r w:rsidRPr="00857FC9">
        <w:rPr>
          <w:rFonts w:ascii="Times New Roman" w:eastAsia="Times New Roman" w:hAnsi="Times New Roman" w:cs="Times New Roman"/>
          <w:color w:val="000000"/>
          <w:kern w:val="0"/>
          <w:sz w:val="26"/>
          <w:szCs w:val="26"/>
          <w14:ligatures w14:val="none"/>
        </w:rPr>
        <w:t>: “El esclavo es hombre como tú.”</w:t>
      </w:r>
    </w:p>
    <w:p w14:paraId="4C97C293" w14:textId="77777777" w:rsidR="00857FC9" w:rsidRPr="00857FC9" w:rsidRDefault="00857FC9" w:rsidP="00857FC9">
      <w:pPr>
        <w:numPr>
          <w:ilvl w:val="0"/>
          <w:numId w:val="5"/>
        </w:num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b/>
          <w:bCs/>
          <w:color w:val="000000"/>
          <w:kern w:val="0"/>
          <w:sz w:val="26"/>
          <w:szCs w:val="26"/>
          <w14:ligatures w14:val="none"/>
        </w:rPr>
        <w:t>Epicteto</w:t>
      </w:r>
      <w:r w:rsidRPr="00857FC9">
        <w:rPr>
          <w:rFonts w:ascii="Times New Roman" w:eastAsia="Times New Roman" w:hAnsi="Times New Roman" w:cs="Times New Roman"/>
          <w:color w:val="000000"/>
          <w:kern w:val="0"/>
          <w:sz w:val="26"/>
          <w:szCs w:val="26"/>
          <w14:ligatures w14:val="none"/>
        </w:rPr>
        <w:t>: “Nadie es esclavo por naturaleza.”</w:t>
      </w:r>
    </w:p>
    <w:p w14:paraId="75105505"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Estas críticas muestran que la dignidad y autonomía humanas trascienden la ley positiva. La libertad interior y la ética práctica sustentan un orden social racional, donde la paz y la cooperación democrática permiten que la razón teórica emerja con legitimidad. La sofística se manifiesta nuevamente como un valor atemporal, capaz de fundamentar principios universales de justicia y convivencia, que Kant y otros ilustrados considerarán universales para toda acción ética.</w:t>
      </w:r>
    </w:p>
    <w:p w14:paraId="0E9A95EF" w14:textId="77777777" w:rsidR="00857FC9" w:rsidRPr="00857FC9" w:rsidRDefault="003D0CEA" w:rsidP="00857FC9">
      <w:pPr>
        <w:spacing w:after="0" w:line="240" w:lineRule="auto"/>
        <w:rPr>
          <w:rFonts w:ascii="Times New Roman" w:eastAsia="Times New Roman" w:hAnsi="Times New Roman" w:cs="Times New Roman"/>
          <w:kern w:val="0"/>
          <w:sz w:val="26"/>
          <w:szCs w:val="26"/>
          <w14:ligatures w14:val="none"/>
        </w:rPr>
      </w:pPr>
      <w:r w:rsidRPr="003D0CEA">
        <w:rPr>
          <w:rFonts w:ascii="Times New Roman" w:eastAsia="Times New Roman" w:hAnsi="Times New Roman" w:cs="Times New Roman"/>
          <w:noProof/>
          <w:kern w:val="0"/>
          <w:sz w:val="26"/>
          <w:szCs w:val="26"/>
        </w:rPr>
        <w:pict w14:anchorId="09F3EA8D">
          <v:rect id="_x0000_i1028" alt="" style="width:468pt;height:.05pt;mso-width-percent:0;mso-height-percent:0;mso-width-percent:0;mso-height-percent:0" o:hralign="center" o:hrstd="t" o:hr="t" fillcolor="#a0a0a0" stroked="f"/>
        </w:pict>
      </w:r>
    </w:p>
    <w:p w14:paraId="5B76A1B4"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b/>
          <w:bCs/>
          <w:color w:val="000000"/>
          <w:kern w:val="0"/>
          <w:sz w:val="26"/>
          <w:szCs w:val="26"/>
          <w14:ligatures w14:val="none"/>
        </w:rPr>
        <w:t>6. Los primeros cristianos: igualdad ontológica radical</w:t>
      </w:r>
      <w:r w:rsidRPr="00857FC9">
        <w:rPr>
          <w:rFonts w:ascii="Times New Roman" w:eastAsia="Times New Roman" w:hAnsi="Times New Roman" w:cs="Times New Roman"/>
          <w:color w:val="000000"/>
          <w:kern w:val="0"/>
          <w:sz w:val="26"/>
          <w:szCs w:val="26"/>
          <w14:ligatures w14:val="none"/>
        </w:rPr>
        <w:br/>
        <w:t>Pablo de Tarso sostiene:</w:t>
      </w:r>
    </w:p>
    <w:p w14:paraId="712652D9"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“Ya no hay judío ni griego, esclavo ni libre… todos sois uno en Cristo.” (Gálatas 3:28)</w:t>
      </w:r>
    </w:p>
    <w:p w14:paraId="66455494"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Esta postura derriba la base metafísica de la esclavitud y establece la igualdad ontológica como fundamento de la paz social y la convivencia democrática. La razón puede elaborar verdades teóricas libres de imposición, dentro de un marco de cooperación y consenso, mostrando nuevamente el valor universal de la sofística como pulsión teórica de la razón práctica.</w:t>
      </w:r>
    </w:p>
    <w:p w14:paraId="0CCA9473" w14:textId="77777777" w:rsidR="00857FC9" w:rsidRPr="00857FC9" w:rsidRDefault="003D0CEA" w:rsidP="00857FC9">
      <w:pPr>
        <w:spacing w:after="0" w:line="240" w:lineRule="auto"/>
        <w:rPr>
          <w:rFonts w:ascii="Times New Roman" w:eastAsia="Times New Roman" w:hAnsi="Times New Roman" w:cs="Times New Roman"/>
          <w:kern w:val="0"/>
          <w:sz w:val="26"/>
          <w:szCs w:val="26"/>
          <w14:ligatures w14:val="none"/>
        </w:rPr>
      </w:pPr>
      <w:r w:rsidRPr="003D0CEA">
        <w:rPr>
          <w:rFonts w:ascii="Times New Roman" w:eastAsia="Times New Roman" w:hAnsi="Times New Roman" w:cs="Times New Roman"/>
          <w:noProof/>
          <w:kern w:val="0"/>
          <w:sz w:val="26"/>
          <w:szCs w:val="26"/>
        </w:rPr>
        <w:pict w14:anchorId="530CFF31">
          <v:rect id="_x0000_i1027" alt="" style="width:468pt;height:.05pt;mso-width-percent:0;mso-height-percent:0;mso-width-percent:0;mso-height-percent:0" o:hralign="center" o:hrstd="t" o:hr="t" fillcolor="#a0a0a0" stroked="f"/>
        </w:pict>
      </w:r>
    </w:p>
    <w:p w14:paraId="52ADBBB8"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b/>
          <w:bCs/>
          <w:color w:val="000000"/>
          <w:kern w:val="0"/>
          <w:sz w:val="26"/>
          <w:szCs w:val="26"/>
          <w14:ligatures w14:val="none"/>
        </w:rPr>
        <w:t>7. Comparación y análisis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gridCol w:w="2391"/>
        <w:gridCol w:w="1442"/>
        <w:gridCol w:w="3866"/>
      </w:tblGrid>
      <w:tr w:rsidR="00857FC9" w:rsidRPr="00857FC9" w14:paraId="44202C9C" w14:textId="77777777">
        <w:trPr>
          <w:tblHeader/>
          <w:tblCellSpacing w:w="15" w:type="dxa"/>
        </w:trPr>
        <w:tc>
          <w:tcPr>
            <w:tcW w:w="0" w:type="auto"/>
            <w:vAlign w:val="center"/>
            <w:hideMark/>
          </w:tcPr>
          <w:p w14:paraId="6E0767AB" w14:textId="77777777" w:rsidR="00857FC9" w:rsidRPr="00857FC9" w:rsidRDefault="00857FC9" w:rsidP="00857FC9">
            <w:pPr>
              <w:spacing w:after="0" w:line="240" w:lineRule="auto"/>
              <w:jc w:val="center"/>
              <w:rPr>
                <w:rFonts w:ascii="Times New Roman" w:eastAsia="Times New Roman" w:hAnsi="Times New Roman" w:cs="Times New Roman"/>
                <w:b/>
                <w:bCs/>
                <w:kern w:val="0"/>
                <w:sz w:val="26"/>
                <w:szCs w:val="26"/>
                <w14:ligatures w14:val="none"/>
              </w:rPr>
            </w:pPr>
            <w:r w:rsidRPr="00857FC9">
              <w:rPr>
                <w:rFonts w:ascii="Times New Roman" w:eastAsia="Times New Roman" w:hAnsi="Times New Roman" w:cs="Times New Roman"/>
                <w:b/>
                <w:bCs/>
                <w:kern w:val="0"/>
                <w:sz w:val="26"/>
                <w:szCs w:val="26"/>
                <w14:ligatures w14:val="none"/>
              </w:rPr>
              <w:t>Filósofo / Autor</w:t>
            </w:r>
          </w:p>
        </w:tc>
        <w:tc>
          <w:tcPr>
            <w:tcW w:w="0" w:type="auto"/>
            <w:vAlign w:val="center"/>
            <w:hideMark/>
          </w:tcPr>
          <w:p w14:paraId="2D21058E" w14:textId="77777777" w:rsidR="00857FC9" w:rsidRPr="00857FC9" w:rsidRDefault="00857FC9" w:rsidP="00857FC9">
            <w:pPr>
              <w:spacing w:after="0" w:line="240" w:lineRule="auto"/>
              <w:jc w:val="center"/>
              <w:rPr>
                <w:rFonts w:ascii="Times New Roman" w:eastAsia="Times New Roman" w:hAnsi="Times New Roman" w:cs="Times New Roman"/>
                <w:b/>
                <w:bCs/>
                <w:kern w:val="0"/>
                <w:sz w:val="26"/>
                <w:szCs w:val="26"/>
                <w14:ligatures w14:val="none"/>
              </w:rPr>
            </w:pPr>
            <w:r w:rsidRPr="00857FC9">
              <w:rPr>
                <w:rFonts w:ascii="Times New Roman" w:eastAsia="Times New Roman" w:hAnsi="Times New Roman" w:cs="Times New Roman"/>
                <w:b/>
                <w:bCs/>
                <w:kern w:val="0"/>
                <w:sz w:val="26"/>
                <w:szCs w:val="26"/>
                <w14:ligatures w14:val="none"/>
              </w:rPr>
              <w:t>Actitud hacia la esclavitud</w:t>
            </w:r>
          </w:p>
        </w:tc>
        <w:tc>
          <w:tcPr>
            <w:tcW w:w="0" w:type="auto"/>
            <w:vAlign w:val="center"/>
            <w:hideMark/>
          </w:tcPr>
          <w:p w14:paraId="66DEEAC8" w14:textId="77777777" w:rsidR="00857FC9" w:rsidRPr="00857FC9" w:rsidRDefault="00857FC9" w:rsidP="00857FC9">
            <w:pPr>
              <w:spacing w:after="0" w:line="240" w:lineRule="auto"/>
              <w:jc w:val="center"/>
              <w:rPr>
                <w:rFonts w:ascii="Times New Roman" w:eastAsia="Times New Roman" w:hAnsi="Times New Roman" w:cs="Times New Roman"/>
                <w:b/>
                <w:bCs/>
                <w:kern w:val="0"/>
                <w:sz w:val="26"/>
                <w:szCs w:val="26"/>
                <w14:ligatures w14:val="none"/>
              </w:rPr>
            </w:pPr>
            <w:r w:rsidRPr="00857FC9">
              <w:rPr>
                <w:rFonts w:ascii="Times New Roman" w:eastAsia="Times New Roman" w:hAnsi="Times New Roman" w:cs="Times New Roman"/>
                <w:b/>
                <w:bCs/>
                <w:kern w:val="0"/>
                <w:sz w:val="26"/>
                <w:szCs w:val="26"/>
                <w14:ligatures w14:val="none"/>
              </w:rPr>
              <w:t>Tipo de libertad</w:t>
            </w:r>
          </w:p>
        </w:tc>
        <w:tc>
          <w:tcPr>
            <w:tcW w:w="0" w:type="auto"/>
            <w:vAlign w:val="center"/>
            <w:hideMark/>
          </w:tcPr>
          <w:p w14:paraId="10E1DE77" w14:textId="77777777" w:rsidR="00857FC9" w:rsidRPr="00857FC9" w:rsidRDefault="00857FC9" w:rsidP="00857FC9">
            <w:pPr>
              <w:spacing w:after="0" w:line="240" w:lineRule="auto"/>
              <w:jc w:val="center"/>
              <w:rPr>
                <w:rFonts w:ascii="Times New Roman" w:eastAsia="Times New Roman" w:hAnsi="Times New Roman" w:cs="Times New Roman"/>
                <w:b/>
                <w:bCs/>
                <w:kern w:val="0"/>
                <w:sz w:val="26"/>
                <w:szCs w:val="26"/>
                <w14:ligatures w14:val="none"/>
              </w:rPr>
            </w:pPr>
            <w:r w:rsidRPr="00857FC9">
              <w:rPr>
                <w:rFonts w:ascii="Times New Roman" w:eastAsia="Times New Roman" w:hAnsi="Times New Roman" w:cs="Times New Roman"/>
                <w:b/>
                <w:bCs/>
                <w:kern w:val="0"/>
                <w:sz w:val="26"/>
                <w:szCs w:val="26"/>
                <w14:ligatures w14:val="none"/>
              </w:rPr>
              <w:t>Conexión democrática y racional</w:t>
            </w:r>
          </w:p>
        </w:tc>
      </w:tr>
      <w:tr w:rsidR="00857FC9" w:rsidRPr="00857FC9" w14:paraId="5A4ACD44" w14:textId="77777777">
        <w:trPr>
          <w:tblCellSpacing w:w="15" w:type="dxa"/>
        </w:trPr>
        <w:tc>
          <w:tcPr>
            <w:tcW w:w="0" w:type="auto"/>
            <w:vAlign w:val="center"/>
            <w:hideMark/>
          </w:tcPr>
          <w:p w14:paraId="215C2B0D"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Alcidamante</w:t>
            </w:r>
          </w:p>
        </w:tc>
        <w:tc>
          <w:tcPr>
            <w:tcW w:w="0" w:type="auto"/>
            <w:vAlign w:val="center"/>
            <w:hideMark/>
          </w:tcPr>
          <w:p w14:paraId="67EC450C"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Crítica explícita; libertad natural universal</w:t>
            </w:r>
          </w:p>
        </w:tc>
        <w:tc>
          <w:tcPr>
            <w:tcW w:w="0" w:type="auto"/>
            <w:vAlign w:val="center"/>
            <w:hideMark/>
          </w:tcPr>
          <w:p w14:paraId="6E21C775"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Jurídica y moral</w:t>
            </w:r>
          </w:p>
        </w:tc>
        <w:tc>
          <w:tcPr>
            <w:tcW w:w="0" w:type="auto"/>
            <w:vAlign w:val="center"/>
            <w:hideMark/>
          </w:tcPr>
          <w:p w14:paraId="20EDB523"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Libertad individual y prefiguración de democracia, tolerancia y pluralismo; valor atemporal de la sofística</w:t>
            </w:r>
          </w:p>
        </w:tc>
      </w:tr>
      <w:tr w:rsidR="00857FC9" w:rsidRPr="00857FC9" w14:paraId="7ADC614F" w14:textId="77777777">
        <w:trPr>
          <w:tblCellSpacing w:w="15" w:type="dxa"/>
        </w:trPr>
        <w:tc>
          <w:tcPr>
            <w:tcW w:w="0" w:type="auto"/>
            <w:vAlign w:val="center"/>
            <w:hideMark/>
          </w:tcPr>
          <w:p w14:paraId="02B18379"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Antístenes</w:t>
            </w:r>
          </w:p>
        </w:tc>
        <w:tc>
          <w:tcPr>
            <w:tcW w:w="0" w:type="auto"/>
            <w:vAlign w:val="center"/>
            <w:hideMark/>
          </w:tcPr>
          <w:p w14:paraId="6F0D5D4B"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Crítica ética; el sabio es libre</w:t>
            </w:r>
          </w:p>
        </w:tc>
        <w:tc>
          <w:tcPr>
            <w:tcW w:w="0" w:type="auto"/>
            <w:vAlign w:val="center"/>
            <w:hideMark/>
          </w:tcPr>
          <w:p w14:paraId="6EC10A1F"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Interior, racional</w:t>
            </w:r>
          </w:p>
        </w:tc>
        <w:tc>
          <w:tcPr>
            <w:tcW w:w="0" w:type="auto"/>
            <w:vAlign w:val="center"/>
            <w:hideMark/>
          </w:tcPr>
          <w:p w14:paraId="7EAE2C09"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Paz social como prerrequisito de verdad; sofística como principio universal</w:t>
            </w:r>
          </w:p>
        </w:tc>
      </w:tr>
      <w:tr w:rsidR="00857FC9" w:rsidRPr="00857FC9" w14:paraId="62AACEB4" w14:textId="77777777">
        <w:trPr>
          <w:tblCellSpacing w:w="15" w:type="dxa"/>
        </w:trPr>
        <w:tc>
          <w:tcPr>
            <w:tcW w:w="0" w:type="auto"/>
            <w:vAlign w:val="center"/>
            <w:hideMark/>
          </w:tcPr>
          <w:p w14:paraId="738E0044"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lastRenderedPageBreak/>
              <w:t>Diógenes</w:t>
            </w:r>
          </w:p>
        </w:tc>
        <w:tc>
          <w:tcPr>
            <w:tcW w:w="0" w:type="auto"/>
            <w:vAlign w:val="center"/>
            <w:hideMark/>
          </w:tcPr>
          <w:p w14:paraId="29AD388D"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Provocación; ridiculiza la institución</w:t>
            </w:r>
          </w:p>
        </w:tc>
        <w:tc>
          <w:tcPr>
            <w:tcW w:w="0" w:type="auto"/>
            <w:vAlign w:val="center"/>
            <w:hideMark/>
          </w:tcPr>
          <w:p w14:paraId="755F38D5"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Interior y práctica</w:t>
            </w:r>
          </w:p>
        </w:tc>
        <w:tc>
          <w:tcPr>
            <w:tcW w:w="0" w:type="auto"/>
            <w:vAlign w:val="center"/>
            <w:hideMark/>
          </w:tcPr>
          <w:p w14:paraId="61144BBF"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Convivencia ética y crítica al poder arbitrario; valor racional permanente</w:t>
            </w:r>
          </w:p>
        </w:tc>
      </w:tr>
      <w:tr w:rsidR="00857FC9" w:rsidRPr="00857FC9" w14:paraId="5DF582A1" w14:textId="77777777">
        <w:trPr>
          <w:tblCellSpacing w:w="15" w:type="dxa"/>
        </w:trPr>
        <w:tc>
          <w:tcPr>
            <w:tcW w:w="0" w:type="auto"/>
            <w:vAlign w:val="center"/>
            <w:hideMark/>
          </w:tcPr>
          <w:p w14:paraId="4DC8B3F2"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Zenón</w:t>
            </w:r>
          </w:p>
        </w:tc>
        <w:tc>
          <w:tcPr>
            <w:tcW w:w="0" w:type="auto"/>
            <w:vAlign w:val="center"/>
            <w:hideMark/>
          </w:tcPr>
          <w:p w14:paraId="27AC1B9D"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Ideal de comunidad sin esclavos</w:t>
            </w:r>
          </w:p>
        </w:tc>
        <w:tc>
          <w:tcPr>
            <w:tcW w:w="0" w:type="auto"/>
            <w:vAlign w:val="center"/>
            <w:hideMark/>
          </w:tcPr>
          <w:p w14:paraId="10AC2191"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Política y moral</w:t>
            </w:r>
          </w:p>
        </w:tc>
        <w:tc>
          <w:tcPr>
            <w:tcW w:w="0" w:type="auto"/>
            <w:vAlign w:val="center"/>
            <w:hideMark/>
          </w:tcPr>
          <w:p w14:paraId="36906EC0"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Igualdad y racionalidad aplicadas a la organización democrática; sofística como imperativo universal</w:t>
            </w:r>
          </w:p>
        </w:tc>
      </w:tr>
      <w:tr w:rsidR="00857FC9" w:rsidRPr="00857FC9" w14:paraId="2A271657" w14:textId="77777777">
        <w:trPr>
          <w:tblCellSpacing w:w="15" w:type="dxa"/>
        </w:trPr>
        <w:tc>
          <w:tcPr>
            <w:tcW w:w="0" w:type="auto"/>
            <w:vAlign w:val="center"/>
            <w:hideMark/>
          </w:tcPr>
          <w:p w14:paraId="2EA15440"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Séneca</w:t>
            </w:r>
          </w:p>
        </w:tc>
        <w:tc>
          <w:tcPr>
            <w:tcW w:w="0" w:type="auto"/>
            <w:vAlign w:val="center"/>
            <w:hideMark/>
          </w:tcPr>
          <w:p w14:paraId="7E29D517"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Igualdad moral; humanización</w:t>
            </w:r>
          </w:p>
        </w:tc>
        <w:tc>
          <w:tcPr>
            <w:tcW w:w="0" w:type="auto"/>
            <w:vAlign w:val="center"/>
            <w:hideMark/>
          </w:tcPr>
          <w:p w14:paraId="25E0DC40"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Ética y psicológica</w:t>
            </w:r>
          </w:p>
        </w:tc>
        <w:tc>
          <w:tcPr>
            <w:tcW w:w="0" w:type="auto"/>
            <w:vAlign w:val="center"/>
            <w:hideMark/>
          </w:tcPr>
          <w:p w14:paraId="3E6E57B2"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Ética práctica como base de paz y cooperación social; universalidad de principios éticos</w:t>
            </w:r>
          </w:p>
        </w:tc>
      </w:tr>
      <w:tr w:rsidR="00857FC9" w:rsidRPr="00857FC9" w14:paraId="0359C460" w14:textId="77777777">
        <w:trPr>
          <w:tblCellSpacing w:w="15" w:type="dxa"/>
        </w:trPr>
        <w:tc>
          <w:tcPr>
            <w:tcW w:w="0" w:type="auto"/>
            <w:vAlign w:val="center"/>
            <w:hideMark/>
          </w:tcPr>
          <w:p w14:paraId="3890D6CE"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Epicteto</w:t>
            </w:r>
          </w:p>
        </w:tc>
        <w:tc>
          <w:tcPr>
            <w:tcW w:w="0" w:type="auto"/>
            <w:vAlign w:val="center"/>
            <w:hideMark/>
          </w:tcPr>
          <w:p w14:paraId="278D7674"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Libertad interior; deslegitimación moral</w:t>
            </w:r>
          </w:p>
        </w:tc>
        <w:tc>
          <w:tcPr>
            <w:tcW w:w="0" w:type="auto"/>
            <w:vAlign w:val="center"/>
            <w:hideMark/>
          </w:tcPr>
          <w:p w14:paraId="7905FCE8"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Interior</w:t>
            </w:r>
          </w:p>
        </w:tc>
        <w:tc>
          <w:tcPr>
            <w:tcW w:w="0" w:type="auto"/>
            <w:vAlign w:val="center"/>
            <w:hideMark/>
          </w:tcPr>
          <w:p w14:paraId="75C43608"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Libertad interior vinculada a convivencia pacífica; valor atemporal de la sofística</w:t>
            </w:r>
          </w:p>
        </w:tc>
      </w:tr>
      <w:tr w:rsidR="00857FC9" w:rsidRPr="00857FC9" w14:paraId="1CD38534" w14:textId="77777777">
        <w:trPr>
          <w:tblCellSpacing w:w="15" w:type="dxa"/>
        </w:trPr>
        <w:tc>
          <w:tcPr>
            <w:tcW w:w="0" w:type="auto"/>
            <w:vAlign w:val="center"/>
            <w:hideMark/>
          </w:tcPr>
          <w:p w14:paraId="25CF46E8"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Cristianismo primitivo</w:t>
            </w:r>
          </w:p>
        </w:tc>
        <w:tc>
          <w:tcPr>
            <w:tcW w:w="0" w:type="auto"/>
            <w:vAlign w:val="center"/>
            <w:hideMark/>
          </w:tcPr>
          <w:p w14:paraId="1BDFF652"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Igualdad ontológica; “uno en Cristo”</w:t>
            </w:r>
          </w:p>
        </w:tc>
        <w:tc>
          <w:tcPr>
            <w:tcW w:w="0" w:type="auto"/>
            <w:vAlign w:val="center"/>
            <w:hideMark/>
          </w:tcPr>
          <w:p w14:paraId="79F95890"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Moral y espiritual</w:t>
            </w:r>
          </w:p>
        </w:tc>
        <w:tc>
          <w:tcPr>
            <w:tcW w:w="0" w:type="auto"/>
            <w:vAlign w:val="center"/>
            <w:hideMark/>
          </w:tcPr>
          <w:p w14:paraId="6DC79607" w14:textId="77777777" w:rsidR="00857FC9" w:rsidRPr="00857FC9" w:rsidRDefault="00857FC9" w:rsidP="00857FC9">
            <w:pPr>
              <w:spacing w:after="0" w:line="240" w:lineRule="auto"/>
              <w:rPr>
                <w:rFonts w:ascii="Times New Roman" w:eastAsia="Times New Roman" w:hAnsi="Times New Roman" w:cs="Times New Roman"/>
                <w:kern w:val="0"/>
                <w:sz w:val="26"/>
                <w:szCs w:val="26"/>
                <w14:ligatures w14:val="none"/>
              </w:rPr>
            </w:pPr>
            <w:r w:rsidRPr="00857FC9">
              <w:rPr>
                <w:rFonts w:ascii="Times New Roman" w:eastAsia="Times New Roman" w:hAnsi="Times New Roman" w:cs="Times New Roman"/>
                <w:kern w:val="0"/>
                <w:sz w:val="26"/>
                <w:szCs w:val="26"/>
                <w14:ligatures w14:val="none"/>
              </w:rPr>
              <w:t>Fundamenta igualdad social y paz sobre la que se desarrolla la razón teórica; sofística universal</w:t>
            </w:r>
          </w:p>
        </w:tc>
      </w:tr>
    </w:tbl>
    <w:p w14:paraId="79A9DCB3"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El análisis evidencia que la democracia no es solo un régimen político, sino un orden racional y universal, fundamentado en libertad, tolerancia y paz, donde la sofística tiene un valor imperativo y atemporal como principio organizador de la sociedad humana. La pulsión teórica de la sofística encuentra eco en Kant, quien afirmaba que la razón práctica obliga a tratar a toda persona como un fin en sí mismo, no como un medio; esto demuestra que la igualdad democrática es un principio de razón práctica, anterior y superior a cualquier verdad teórica contingente.</w:t>
      </w:r>
    </w:p>
    <w:p w14:paraId="0484C3CE" w14:textId="77777777" w:rsidR="00857FC9" w:rsidRPr="00857FC9" w:rsidRDefault="003D0CEA" w:rsidP="00857FC9">
      <w:pPr>
        <w:spacing w:after="0" w:line="240" w:lineRule="auto"/>
        <w:rPr>
          <w:rFonts w:ascii="Times New Roman" w:eastAsia="Times New Roman" w:hAnsi="Times New Roman" w:cs="Times New Roman"/>
          <w:kern w:val="0"/>
          <w:sz w:val="26"/>
          <w:szCs w:val="26"/>
          <w14:ligatures w14:val="none"/>
        </w:rPr>
      </w:pPr>
      <w:r w:rsidRPr="003D0CEA">
        <w:rPr>
          <w:rFonts w:ascii="Times New Roman" w:eastAsia="Times New Roman" w:hAnsi="Times New Roman" w:cs="Times New Roman"/>
          <w:noProof/>
          <w:kern w:val="0"/>
          <w:sz w:val="26"/>
          <w:szCs w:val="26"/>
        </w:rPr>
        <w:pict w14:anchorId="48B737E9">
          <v:rect id="_x0000_i1026" alt="" style="width:468pt;height:.05pt;mso-width-percent:0;mso-height-percent:0;mso-width-percent:0;mso-height-percent:0" o:hralign="center" o:hrstd="t" o:hr="t" fillcolor="#a0a0a0" stroked="f"/>
        </w:pict>
      </w:r>
    </w:p>
    <w:p w14:paraId="74586437"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b/>
          <w:bCs/>
          <w:color w:val="000000"/>
          <w:kern w:val="0"/>
          <w:sz w:val="26"/>
          <w:szCs w:val="26"/>
          <w14:ligatures w14:val="none"/>
        </w:rPr>
        <w:t>8. Conclusión</w:t>
      </w:r>
      <w:r w:rsidRPr="00857FC9">
        <w:rPr>
          <w:rFonts w:ascii="Times New Roman" w:eastAsia="Times New Roman" w:hAnsi="Times New Roman" w:cs="Times New Roman"/>
          <w:color w:val="000000"/>
          <w:kern w:val="0"/>
          <w:sz w:val="26"/>
          <w:szCs w:val="26"/>
          <w14:ligatures w14:val="none"/>
        </w:rPr>
        <w:br/>
        <w:t>Aunque la Antigüedad aceptó la esclavitud como norma, existieron filósofos que la cuestionaron: desde la crítica a la esclavitud natural (Alcidamante), hasta la libertad interior y moral (cínicos, estoicos), y la igualdad ontológica y espiritual (cristianos primitivos).</w:t>
      </w:r>
      <w:r w:rsidRPr="00857FC9">
        <w:rPr>
          <w:rFonts w:ascii="Times New Roman" w:eastAsia="Times New Roman" w:hAnsi="Times New Roman" w:cs="Times New Roman"/>
          <w:color w:val="000000"/>
          <w:kern w:val="0"/>
          <w:sz w:val="26"/>
          <w:szCs w:val="26"/>
          <w14:ligatures w14:val="none"/>
        </w:rPr>
        <w:br/>
        <w:t>Estas posturas muestran que la democracia es la forma racional y universal de la sociedad humana, donde la libertad, la paz social y el pluralismo son previos a la verdad teórica. La sofística se manifiesta como fundamento imperativo, atemporal y universal de esta organización, asegurando que toda dogmática surja de manera legítima, libre, consensuada y orientada a la coexistencia pacífica. La conexión con la filosofía medieval e ilustrada, especialmente con Kant, confirma que esta pulsión teórica por la igualdad democrática es una constante de la razón práctica a lo largo de la historia.</w:t>
      </w:r>
    </w:p>
    <w:p w14:paraId="7E097C86" w14:textId="77777777" w:rsidR="00857FC9" w:rsidRPr="00857FC9" w:rsidRDefault="003D0CEA" w:rsidP="00857FC9">
      <w:pPr>
        <w:spacing w:after="0" w:line="240" w:lineRule="auto"/>
        <w:rPr>
          <w:rFonts w:ascii="Times New Roman" w:eastAsia="Times New Roman" w:hAnsi="Times New Roman" w:cs="Times New Roman"/>
          <w:kern w:val="0"/>
          <w:sz w:val="26"/>
          <w:szCs w:val="26"/>
          <w14:ligatures w14:val="none"/>
        </w:rPr>
      </w:pPr>
      <w:r w:rsidRPr="003D0CEA">
        <w:rPr>
          <w:rFonts w:ascii="Times New Roman" w:eastAsia="Times New Roman" w:hAnsi="Times New Roman" w:cs="Times New Roman"/>
          <w:noProof/>
          <w:kern w:val="0"/>
          <w:sz w:val="26"/>
          <w:szCs w:val="26"/>
        </w:rPr>
        <w:pict w14:anchorId="1D26C71F">
          <v:rect id="_x0000_i1025" alt="" style="width:468pt;height:.05pt;mso-width-percent:0;mso-height-percent:0;mso-width-percent:0;mso-height-percent:0" o:hralign="center" o:hrstd="t" o:hr="t" fillcolor="#a0a0a0" stroked="f"/>
        </w:pict>
      </w:r>
    </w:p>
    <w:p w14:paraId="4CFB2C1F" w14:textId="77777777" w:rsidR="00857FC9" w:rsidRPr="00857FC9" w:rsidRDefault="00857FC9" w:rsidP="00857FC9">
      <w:p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b/>
          <w:bCs/>
          <w:color w:val="000000"/>
          <w:kern w:val="0"/>
          <w:sz w:val="26"/>
          <w:szCs w:val="26"/>
          <w14:ligatures w14:val="none"/>
        </w:rPr>
        <w:lastRenderedPageBreak/>
        <w:t>Bibliografía sugerida</w:t>
      </w:r>
    </w:p>
    <w:p w14:paraId="5AD87C73" w14:textId="77777777" w:rsidR="00857FC9" w:rsidRPr="00857FC9" w:rsidRDefault="00857FC9" w:rsidP="00857FC9">
      <w:pPr>
        <w:numPr>
          <w:ilvl w:val="0"/>
          <w:numId w:val="6"/>
        </w:num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Aristóteles, </w:t>
      </w:r>
      <w:r w:rsidRPr="00857FC9">
        <w:rPr>
          <w:rFonts w:ascii="Times New Roman" w:eastAsia="Times New Roman" w:hAnsi="Times New Roman" w:cs="Times New Roman"/>
          <w:i/>
          <w:iCs/>
          <w:color w:val="000000"/>
          <w:kern w:val="0"/>
          <w:sz w:val="26"/>
          <w:szCs w:val="26"/>
          <w14:ligatures w14:val="none"/>
        </w:rPr>
        <w:t>Retórica</w:t>
      </w:r>
      <w:r w:rsidRPr="00857FC9">
        <w:rPr>
          <w:rFonts w:ascii="Times New Roman" w:eastAsia="Times New Roman" w:hAnsi="Times New Roman" w:cs="Times New Roman"/>
          <w:color w:val="000000"/>
          <w:kern w:val="0"/>
          <w:sz w:val="26"/>
          <w:szCs w:val="26"/>
          <w14:ligatures w14:val="none"/>
        </w:rPr>
        <w:t>.</w:t>
      </w:r>
    </w:p>
    <w:p w14:paraId="3E2B23CA" w14:textId="77777777" w:rsidR="00857FC9" w:rsidRPr="00857FC9" w:rsidRDefault="00857FC9" w:rsidP="00857FC9">
      <w:pPr>
        <w:numPr>
          <w:ilvl w:val="0"/>
          <w:numId w:val="6"/>
        </w:num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Diógenes Laercio, </w:t>
      </w:r>
      <w:r w:rsidRPr="00857FC9">
        <w:rPr>
          <w:rFonts w:ascii="Times New Roman" w:eastAsia="Times New Roman" w:hAnsi="Times New Roman" w:cs="Times New Roman"/>
          <w:i/>
          <w:iCs/>
          <w:color w:val="000000"/>
          <w:kern w:val="0"/>
          <w:sz w:val="26"/>
          <w:szCs w:val="26"/>
          <w14:ligatures w14:val="none"/>
        </w:rPr>
        <w:t>Vidas y opiniones de los filósofos ilustres</w:t>
      </w:r>
      <w:r w:rsidRPr="00857FC9">
        <w:rPr>
          <w:rFonts w:ascii="Times New Roman" w:eastAsia="Times New Roman" w:hAnsi="Times New Roman" w:cs="Times New Roman"/>
          <w:color w:val="000000"/>
          <w:kern w:val="0"/>
          <w:sz w:val="26"/>
          <w:szCs w:val="26"/>
          <w14:ligatures w14:val="none"/>
        </w:rPr>
        <w:t>.</w:t>
      </w:r>
    </w:p>
    <w:p w14:paraId="1808D853" w14:textId="77777777" w:rsidR="00857FC9" w:rsidRPr="00857FC9" w:rsidRDefault="00857FC9" w:rsidP="00857FC9">
      <w:pPr>
        <w:numPr>
          <w:ilvl w:val="0"/>
          <w:numId w:val="6"/>
        </w:num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Séneca, </w:t>
      </w:r>
      <w:r w:rsidRPr="00857FC9">
        <w:rPr>
          <w:rFonts w:ascii="Times New Roman" w:eastAsia="Times New Roman" w:hAnsi="Times New Roman" w:cs="Times New Roman"/>
          <w:i/>
          <w:iCs/>
          <w:color w:val="000000"/>
          <w:kern w:val="0"/>
          <w:sz w:val="26"/>
          <w:szCs w:val="26"/>
          <w14:ligatures w14:val="none"/>
        </w:rPr>
        <w:t>Cartas a Lucilio</w:t>
      </w:r>
      <w:r w:rsidRPr="00857FC9">
        <w:rPr>
          <w:rFonts w:ascii="Times New Roman" w:eastAsia="Times New Roman" w:hAnsi="Times New Roman" w:cs="Times New Roman"/>
          <w:color w:val="000000"/>
          <w:kern w:val="0"/>
          <w:sz w:val="26"/>
          <w:szCs w:val="26"/>
          <w14:ligatures w14:val="none"/>
        </w:rPr>
        <w:t>.</w:t>
      </w:r>
    </w:p>
    <w:p w14:paraId="265F96C2" w14:textId="77777777" w:rsidR="00857FC9" w:rsidRPr="00857FC9" w:rsidRDefault="00857FC9" w:rsidP="00857FC9">
      <w:pPr>
        <w:numPr>
          <w:ilvl w:val="0"/>
          <w:numId w:val="6"/>
        </w:num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Epicteto, </w:t>
      </w:r>
      <w:r w:rsidRPr="00857FC9">
        <w:rPr>
          <w:rFonts w:ascii="Times New Roman" w:eastAsia="Times New Roman" w:hAnsi="Times New Roman" w:cs="Times New Roman"/>
          <w:i/>
          <w:iCs/>
          <w:color w:val="000000"/>
          <w:kern w:val="0"/>
          <w:sz w:val="26"/>
          <w:szCs w:val="26"/>
          <w14:ligatures w14:val="none"/>
        </w:rPr>
        <w:t>Manual de Epicteto</w:t>
      </w:r>
      <w:r w:rsidRPr="00857FC9">
        <w:rPr>
          <w:rFonts w:ascii="Times New Roman" w:eastAsia="Times New Roman" w:hAnsi="Times New Roman" w:cs="Times New Roman"/>
          <w:color w:val="000000"/>
          <w:kern w:val="0"/>
          <w:sz w:val="26"/>
          <w:szCs w:val="26"/>
          <w14:ligatures w14:val="none"/>
        </w:rPr>
        <w:t>.</w:t>
      </w:r>
    </w:p>
    <w:p w14:paraId="3C276991" w14:textId="77777777" w:rsidR="00857FC9" w:rsidRPr="00857FC9" w:rsidRDefault="00857FC9" w:rsidP="00857FC9">
      <w:pPr>
        <w:numPr>
          <w:ilvl w:val="0"/>
          <w:numId w:val="6"/>
        </w:num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Pablo de Tarso, </w:t>
      </w:r>
      <w:r w:rsidRPr="00857FC9">
        <w:rPr>
          <w:rFonts w:ascii="Times New Roman" w:eastAsia="Times New Roman" w:hAnsi="Times New Roman" w:cs="Times New Roman"/>
          <w:i/>
          <w:iCs/>
          <w:color w:val="000000"/>
          <w:kern w:val="0"/>
          <w:sz w:val="26"/>
          <w:szCs w:val="26"/>
          <w14:ligatures w14:val="none"/>
        </w:rPr>
        <w:t>Gálatas</w:t>
      </w:r>
      <w:r w:rsidRPr="00857FC9">
        <w:rPr>
          <w:rFonts w:ascii="Times New Roman" w:eastAsia="Times New Roman" w:hAnsi="Times New Roman" w:cs="Times New Roman"/>
          <w:color w:val="000000"/>
          <w:kern w:val="0"/>
          <w:sz w:val="26"/>
          <w:szCs w:val="26"/>
          <w14:ligatures w14:val="none"/>
        </w:rPr>
        <w:t>.</w:t>
      </w:r>
    </w:p>
    <w:p w14:paraId="4F09B864" w14:textId="77777777" w:rsidR="00857FC9" w:rsidRPr="00857FC9" w:rsidRDefault="00857FC9" w:rsidP="00857FC9">
      <w:pPr>
        <w:numPr>
          <w:ilvl w:val="0"/>
          <w:numId w:val="6"/>
        </w:num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Dillon, J., </w:t>
      </w:r>
      <w:r w:rsidRPr="00857FC9">
        <w:rPr>
          <w:rFonts w:ascii="Times New Roman" w:eastAsia="Times New Roman" w:hAnsi="Times New Roman" w:cs="Times New Roman"/>
          <w:i/>
          <w:iCs/>
          <w:color w:val="000000"/>
          <w:kern w:val="0"/>
          <w:sz w:val="26"/>
          <w:szCs w:val="26"/>
          <w14:ligatures w14:val="none"/>
        </w:rPr>
        <w:t>The Heirs of Socrates: Studies in Moral and Political Philosophy</w:t>
      </w:r>
      <w:r w:rsidRPr="00857FC9">
        <w:rPr>
          <w:rFonts w:ascii="Times New Roman" w:eastAsia="Times New Roman" w:hAnsi="Times New Roman" w:cs="Times New Roman"/>
          <w:color w:val="000000"/>
          <w:kern w:val="0"/>
          <w:sz w:val="26"/>
          <w:szCs w:val="26"/>
          <w14:ligatures w14:val="none"/>
        </w:rPr>
        <w:t>.</w:t>
      </w:r>
    </w:p>
    <w:p w14:paraId="42F3B091" w14:textId="77777777" w:rsidR="00857FC9" w:rsidRPr="00857FC9" w:rsidRDefault="00857FC9" w:rsidP="00857FC9">
      <w:pPr>
        <w:numPr>
          <w:ilvl w:val="0"/>
          <w:numId w:val="6"/>
        </w:num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Inwood, B., </w:t>
      </w:r>
      <w:r w:rsidRPr="00857FC9">
        <w:rPr>
          <w:rFonts w:ascii="Times New Roman" w:eastAsia="Times New Roman" w:hAnsi="Times New Roman" w:cs="Times New Roman"/>
          <w:i/>
          <w:iCs/>
          <w:color w:val="000000"/>
          <w:kern w:val="0"/>
          <w:sz w:val="26"/>
          <w:szCs w:val="26"/>
          <w14:ligatures w14:val="none"/>
        </w:rPr>
        <w:t>The Cambridge Companion to the Stoics</w:t>
      </w:r>
      <w:r w:rsidRPr="00857FC9">
        <w:rPr>
          <w:rFonts w:ascii="Times New Roman" w:eastAsia="Times New Roman" w:hAnsi="Times New Roman" w:cs="Times New Roman"/>
          <w:color w:val="000000"/>
          <w:kern w:val="0"/>
          <w:sz w:val="26"/>
          <w:szCs w:val="26"/>
          <w14:ligatures w14:val="none"/>
        </w:rPr>
        <w:t>.</w:t>
      </w:r>
    </w:p>
    <w:p w14:paraId="19C97528" w14:textId="77777777" w:rsidR="00857FC9" w:rsidRPr="00857FC9" w:rsidRDefault="00857FC9" w:rsidP="00857FC9">
      <w:pPr>
        <w:numPr>
          <w:ilvl w:val="0"/>
          <w:numId w:val="6"/>
        </w:num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Kant, I., </w:t>
      </w:r>
      <w:r w:rsidRPr="00857FC9">
        <w:rPr>
          <w:rFonts w:ascii="Times New Roman" w:eastAsia="Times New Roman" w:hAnsi="Times New Roman" w:cs="Times New Roman"/>
          <w:i/>
          <w:iCs/>
          <w:color w:val="000000"/>
          <w:kern w:val="0"/>
          <w:sz w:val="26"/>
          <w:szCs w:val="26"/>
          <w14:ligatures w14:val="none"/>
        </w:rPr>
        <w:t>Crítica de la razón práctica</w:t>
      </w:r>
      <w:r w:rsidRPr="00857FC9">
        <w:rPr>
          <w:rFonts w:ascii="Times New Roman" w:eastAsia="Times New Roman" w:hAnsi="Times New Roman" w:cs="Times New Roman"/>
          <w:color w:val="000000"/>
          <w:kern w:val="0"/>
          <w:sz w:val="26"/>
          <w:szCs w:val="26"/>
          <w14:ligatures w14:val="none"/>
        </w:rPr>
        <w:t>.</w:t>
      </w:r>
    </w:p>
    <w:p w14:paraId="60A04823" w14:textId="77777777" w:rsidR="00857FC9" w:rsidRPr="00857FC9" w:rsidRDefault="00857FC9" w:rsidP="00857FC9">
      <w:pPr>
        <w:numPr>
          <w:ilvl w:val="0"/>
          <w:numId w:val="6"/>
        </w:num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Rousseau, J.-J., </w:t>
      </w:r>
      <w:r w:rsidRPr="00857FC9">
        <w:rPr>
          <w:rFonts w:ascii="Times New Roman" w:eastAsia="Times New Roman" w:hAnsi="Times New Roman" w:cs="Times New Roman"/>
          <w:i/>
          <w:iCs/>
          <w:color w:val="000000"/>
          <w:kern w:val="0"/>
          <w:sz w:val="26"/>
          <w:szCs w:val="26"/>
          <w14:ligatures w14:val="none"/>
        </w:rPr>
        <w:t>El contrato social</w:t>
      </w:r>
      <w:r w:rsidRPr="00857FC9">
        <w:rPr>
          <w:rFonts w:ascii="Times New Roman" w:eastAsia="Times New Roman" w:hAnsi="Times New Roman" w:cs="Times New Roman"/>
          <w:color w:val="000000"/>
          <w:kern w:val="0"/>
          <w:sz w:val="26"/>
          <w:szCs w:val="26"/>
          <w14:ligatures w14:val="none"/>
        </w:rPr>
        <w:t>.</w:t>
      </w:r>
    </w:p>
    <w:p w14:paraId="7FFC40ED" w14:textId="77777777" w:rsidR="00857FC9" w:rsidRPr="00857FC9" w:rsidRDefault="00857FC9" w:rsidP="00857FC9">
      <w:pPr>
        <w:numPr>
          <w:ilvl w:val="0"/>
          <w:numId w:val="6"/>
        </w:num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Montesquieu, C. de, </w:t>
      </w:r>
      <w:r w:rsidRPr="00857FC9">
        <w:rPr>
          <w:rFonts w:ascii="Times New Roman" w:eastAsia="Times New Roman" w:hAnsi="Times New Roman" w:cs="Times New Roman"/>
          <w:i/>
          <w:iCs/>
          <w:color w:val="000000"/>
          <w:kern w:val="0"/>
          <w:sz w:val="26"/>
          <w:szCs w:val="26"/>
          <w14:ligatures w14:val="none"/>
        </w:rPr>
        <w:t>El espíritu de las leyes</w:t>
      </w:r>
      <w:r w:rsidRPr="00857FC9">
        <w:rPr>
          <w:rFonts w:ascii="Times New Roman" w:eastAsia="Times New Roman" w:hAnsi="Times New Roman" w:cs="Times New Roman"/>
          <w:color w:val="000000"/>
          <w:kern w:val="0"/>
          <w:sz w:val="26"/>
          <w:szCs w:val="26"/>
          <w14:ligatures w14:val="none"/>
        </w:rPr>
        <w:t>.</w:t>
      </w:r>
    </w:p>
    <w:p w14:paraId="0B53B89D" w14:textId="77777777" w:rsidR="00857FC9" w:rsidRPr="00857FC9" w:rsidRDefault="00857FC9" w:rsidP="00857FC9">
      <w:pPr>
        <w:numPr>
          <w:ilvl w:val="0"/>
          <w:numId w:val="6"/>
        </w:numPr>
        <w:spacing w:before="100" w:beforeAutospacing="1" w:after="100" w:afterAutospacing="1" w:line="240" w:lineRule="auto"/>
        <w:rPr>
          <w:rFonts w:ascii="Times New Roman" w:eastAsia="Times New Roman" w:hAnsi="Times New Roman" w:cs="Times New Roman"/>
          <w:color w:val="000000"/>
          <w:kern w:val="0"/>
          <w:sz w:val="26"/>
          <w:szCs w:val="26"/>
          <w14:ligatures w14:val="none"/>
        </w:rPr>
      </w:pPr>
      <w:r w:rsidRPr="00857FC9">
        <w:rPr>
          <w:rFonts w:ascii="Times New Roman" w:eastAsia="Times New Roman" w:hAnsi="Times New Roman" w:cs="Times New Roman"/>
          <w:color w:val="000000"/>
          <w:kern w:val="0"/>
          <w:sz w:val="26"/>
          <w:szCs w:val="26"/>
          <w14:ligatures w14:val="none"/>
        </w:rPr>
        <w:t>Tomás de Aquino, </w:t>
      </w:r>
      <w:r w:rsidRPr="00857FC9">
        <w:rPr>
          <w:rFonts w:ascii="Times New Roman" w:eastAsia="Times New Roman" w:hAnsi="Times New Roman" w:cs="Times New Roman"/>
          <w:i/>
          <w:iCs/>
          <w:color w:val="000000"/>
          <w:kern w:val="0"/>
          <w:sz w:val="26"/>
          <w:szCs w:val="26"/>
          <w14:ligatures w14:val="none"/>
        </w:rPr>
        <w:t>Suma Teológica</w:t>
      </w:r>
      <w:r w:rsidRPr="00857FC9">
        <w:rPr>
          <w:rFonts w:ascii="Times New Roman" w:eastAsia="Times New Roman" w:hAnsi="Times New Roman" w:cs="Times New Roman"/>
          <w:color w:val="000000"/>
          <w:kern w:val="0"/>
          <w:sz w:val="26"/>
          <w:szCs w:val="26"/>
          <w14:ligatures w14:val="none"/>
        </w:rPr>
        <w:t>.</w:t>
      </w:r>
    </w:p>
    <w:p w14:paraId="69AAA843" w14:textId="77777777" w:rsidR="00354789" w:rsidRPr="00857FC9" w:rsidRDefault="00354789">
      <w:pPr>
        <w:rPr>
          <w:sz w:val="26"/>
          <w:szCs w:val="26"/>
        </w:rPr>
      </w:pPr>
    </w:p>
    <w:sectPr w:rsidR="00354789" w:rsidRPr="00857FC9" w:rsidSect="00C44D9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B4E"/>
    <w:multiLevelType w:val="multilevel"/>
    <w:tmpl w:val="4508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B3EB9"/>
    <w:multiLevelType w:val="multilevel"/>
    <w:tmpl w:val="06E86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F40DA"/>
    <w:multiLevelType w:val="multilevel"/>
    <w:tmpl w:val="5A22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A2DB5"/>
    <w:multiLevelType w:val="multilevel"/>
    <w:tmpl w:val="8402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52048"/>
    <w:multiLevelType w:val="multilevel"/>
    <w:tmpl w:val="51E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82761C"/>
    <w:multiLevelType w:val="multilevel"/>
    <w:tmpl w:val="E22C4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083099">
    <w:abstractNumId w:val="2"/>
  </w:num>
  <w:num w:numId="2" w16cid:durableId="745229677">
    <w:abstractNumId w:val="3"/>
  </w:num>
  <w:num w:numId="3" w16cid:durableId="1708263619">
    <w:abstractNumId w:val="5"/>
  </w:num>
  <w:num w:numId="4" w16cid:durableId="152377117">
    <w:abstractNumId w:val="0"/>
  </w:num>
  <w:num w:numId="5" w16cid:durableId="240994432">
    <w:abstractNumId w:val="4"/>
  </w:num>
  <w:num w:numId="6" w16cid:durableId="681905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E57"/>
    <w:rsid w:val="00030E57"/>
    <w:rsid w:val="00354789"/>
    <w:rsid w:val="003D0CEA"/>
    <w:rsid w:val="00465DC1"/>
    <w:rsid w:val="00557598"/>
    <w:rsid w:val="00857FC9"/>
    <w:rsid w:val="0086667F"/>
    <w:rsid w:val="00A813F7"/>
    <w:rsid w:val="00A855DD"/>
    <w:rsid w:val="00C1618E"/>
    <w:rsid w:val="00C44D93"/>
    <w:rsid w:val="00F35BA8"/>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D6A91"/>
  <w15:chartTrackingRefBased/>
  <w15:docId w15:val="{D7354048-A7DD-3D42-A9D5-DDDCCD453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0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0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E57"/>
    <w:rPr>
      <w:rFonts w:eastAsiaTheme="majorEastAsia" w:cstheme="majorBidi"/>
      <w:color w:val="272727" w:themeColor="text1" w:themeTint="D8"/>
    </w:rPr>
  </w:style>
  <w:style w:type="paragraph" w:styleId="Title">
    <w:name w:val="Title"/>
    <w:basedOn w:val="Normal"/>
    <w:next w:val="Normal"/>
    <w:link w:val="TitleChar"/>
    <w:uiPriority w:val="10"/>
    <w:qFormat/>
    <w:rsid w:val="00030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E57"/>
    <w:pPr>
      <w:spacing w:before="160"/>
      <w:jc w:val="center"/>
    </w:pPr>
    <w:rPr>
      <w:i/>
      <w:iCs/>
      <w:color w:val="404040" w:themeColor="text1" w:themeTint="BF"/>
    </w:rPr>
  </w:style>
  <w:style w:type="character" w:customStyle="1" w:styleId="QuoteChar">
    <w:name w:val="Quote Char"/>
    <w:basedOn w:val="DefaultParagraphFont"/>
    <w:link w:val="Quote"/>
    <w:uiPriority w:val="29"/>
    <w:rsid w:val="00030E57"/>
    <w:rPr>
      <w:i/>
      <w:iCs/>
      <w:color w:val="404040" w:themeColor="text1" w:themeTint="BF"/>
    </w:rPr>
  </w:style>
  <w:style w:type="paragraph" w:styleId="ListParagraph">
    <w:name w:val="List Paragraph"/>
    <w:basedOn w:val="Normal"/>
    <w:uiPriority w:val="34"/>
    <w:qFormat/>
    <w:rsid w:val="00030E57"/>
    <w:pPr>
      <w:ind w:left="720"/>
      <w:contextualSpacing/>
    </w:pPr>
  </w:style>
  <w:style w:type="character" w:styleId="IntenseEmphasis">
    <w:name w:val="Intense Emphasis"/>
    <w:basedOn w:val="DefaultParagraphFont"/>
    <w:uiPriority w:val="21"/>
    <w:qFormat/>
    <w:rsid w:val="00030E57"/>
    <w:rPr>
      <w:i/>
      <w:iCs/>
      <w:color w:val="0F4761" w:themeColor="accent1" w:themeShade="BF"/>
    </w:rPr>
  </w:style>
  <w:style w:type="paragraph" w:styleId="IntenseQuote">
    <w:name w:val="Intense Quote"/>
    <w:basedOn w:val="Normal"/>
    <w:next w:val="Normal"/>
    <w:link w:val="IntenseQuoteChar"/>
    <w:uiPriority w:val="30"/>
    <w:qFormat/>
    <w:rsid w:val="00030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E57"/>
    <w:rPr>
      <w:i/>
      <w:iCs/>
      <w:color w:val="0F4761" w:themeColor="accent1" w:themeShade="BF"/>
    </w:rPr>
  </w:style>
  <w:style w:type="character" w:styleId="IntenseReference">
    <w:name w:val="Intense Reference"/>
    <w:basedOn w:val="DefaultParagraphFont"/>
    <w:uiPriority w:val="32"/>
    <w:qFormat/>
    <w:rsid w:val="00030E57"/>
    <w:rPr>
      <w:b/>
      <w:bCs/>
      <w:smallCaps/>
      <w:color w:val="0F4761" w:themeColor="accent1" w:themeShade="BF"/>
      <w:spacing w:val="5"/>
    </w:rPr>
  </w:style>
  <w:style w:type="paragraph" w:styleId="NormalWeb">
    <w:name w:val="Normal (Web)"/>
    <w:basedOn w:val="Normal"/>
    <w:uiPriority w:val="99"/>
    <w:semiHidden/>
    <w:unhideWhenUsed/>
    <w:rsid w:val="00030E5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30E57"/>
  </w:style>
  <w:style w:type="character" w:styleId="Strong">
    <w:name w:val="Strong"/>
    <w:basedOn w:val="DefaultParagraphFont"/>
    <w:uiPriority w:val="22"/>
    <w:qFormat/>
    <w:rsid w:val="00030E57"/>
    <w:rPr>
      <w:b/>
      <w:bCs/>
    </w:rPr>
  </w:style>
  <w:style w:type="character" w:styleId="Emphasis">
    <w:name w:val="Emphasis"/>
    <w:basedOn w:val="DefaultParagraphFont"/>
    <w:uiPriority w:val="20"/>
    <w:qFormat/>
    <w:rsid w:val="00030E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1360</Words>
  <Characters>7758</Characters>
  <Application>Microsoft Office Word</Application>
  <DocSecurity>0</DocSecurity>
  <Lines>64</Lines>
  <Paragraphs>18</Paragraphs>
  <ScaleCrop>false</ScaleCrop>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Ignacio Lavados Sepúlveda</dc:creator>
  <cp:keywords/>
  <dc:description/>
  <cp:lastModifiedBy>Tomás Ignacio Lavados Sepúlveda</cp:lastModifiedBy>
  <cp:revision>2</cp:revision>
  <cp:lastPrinted>2025-12-08T17:33:00Z</cp:lastPrinted>
  <dcterms:created xsi:type="dcterms:W3CDTF">2025-12-08T17:37:00Z</dcterms:created>
  <dcterms:modified xsi:type="dcterms:W3CDTF">2025-12-08T17:37:00Z</dcterms:modified>
</cp:coreProperties>
</file>