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269D0" w14:textId="77777777" w:rsidR="00D32BBD" w:rsidRPr="00D32BBD" w:rsidRDefault="00D32BBD" w:rsidP="00D32BB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32BBD">
        <w:rPr>
          <w:rFonts w:ascii="Times New Roman" w:eastAsia="Times New Roman" w:hAnsi="Times New Roman" w:cs="Times New Roman"/>
          <w:b/>
          <w:bCs/>
          <w:color w:val="000000"/>
          <w:kern w:val="0"/>
          <w:sz w:val="36"/>
          <w:szCs w:val="36"/>
          <w14:ligatures w14:val="none"/>
        </w:rPr>
        <w:t>El Punto, la Conciencia, la Monada y la Experiencia Adimensional de la Voluntad Santa</w:t>
      </w:r>
    </w:p>
    <w:p w14:paraId="2E1234E5"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Introducción</w:t>
      </w:r>
    </w:p>
    <w:p w14:paraId="0B83F0FD"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El punto geométrico, en su condición de entidad sin extensión, aparece como un símbolo primordial: </w:t>
      </w:r>
      <w:r w:rsidRPr="00D32BBD">
        <w:rPr>
          <w:rFonts w:ascii="Times New Roman" w:eastAsia="Times New Roman" w:hAnsi="Times New Roman" w:cs="Times New Roman"/>
          <w:b/>
          <w:bCs/>
          <w:color w:val="000000"/>
          <w:kern w:val="0"/>
          <w14:ligatures w14:val="none"/>
        </w:rPr>
        <w:t>límite ontológico</w:t>
      </w:r>
      <w:r w:rsidRPr="00D32BBD">
        <w:rPr>
          <w:rFonts w:ascii="Times New Roman" w:eastAsia="Times New Roman" w:hAnsi="Times New Roman" w:cs="Times New Roman"/>
          <w:color w:val="000000"/>
          <w:kern w:val="0"/>
          <w14:ligatures w14:val="none"/>
        </w:rPr>
        <w:t>, núcleo absoluto e indivisible que pone coto a la nada y abre el ser. Desde ese núcleo se despliegan líneas, planos y volúmenes; desde él se originan relaciones y diferencias. Si trasladamos este esquema geométrico al terreno metafísico, el punto permite modelar la </w:t>
      </w:r>
      <w:r w:rsidRPr="00D32BBD">
        <w:rPr>
          <w:rFonts w:ascii="Times New Roman" w:eastAsia="Times New Roman" w:hAnsi="Times New Roman" w:cs="Times New Roman"/>
          <w:b/>
          <w:bCs/>
          <w:color w:val="000000"/>
          <w:kern w:val="0"/>
          <w14:ligatures w14:val="none"/>
        </w:rPr>
        <w:t>conciencia pura</w:t>
      </w:r>
      <w:r w:rsidRPr="00D32BBD">
        <w:rPr>
          <w:rFonts w:ascii="Times New Roman" w:eastAsia="Times New Roman" w:hAnsi="Times New Roman" w:cs="Times New Roman"/>
          <w:color w:val="000000"/>
          <w:kern w:val="0"/>
          <w14:ligatures w14:val="none"/>
        </w:rPr>
        <w:t>, la </w:t>
      </w:r>
      <w:r w:rsidRPr="00D32BBD">
        <w:rPr>
          <w:rFonts w:ascii="Times New Roman" w:eastAsia="Times New Roman" w:hAnsi="Times New Roman" w:cs="Times New Roman"/>
          <w:b/>
          <w:bCs/>
          <w:color w:val="000000"/>
          <w:kern w:val="0"/>
          <w14:ligatures w14:val="none"/>
        </w:rPr>
        <w:t>voluntad</w:t>
      </w:r>
      <w:r w:rsidRPr="00D32BBD">
        <w:rPr>
          <w:rFonts w:ascii="Times New Roman" w:eastAsia="Times New Roman" w:hAnsi="Times New Roman" w:cs="Times New Roman"/>
          <w:color w:val="000000"/>
          <w:kern w:val="0"/>
          <w14:ligatures w14:val="none"/>
        </w:rPr>
        <w:t> y la </w:t>
      </w:r>
      <w:r w:rsidRPr="00D32BBD">
        <w:rPr>
          <w:rFonts w:ascii="Times New Roman" w:eastAsia="Times New Roman" w:hAnsi="Times New Roman" w:cs="Times New Roman"/>
          <w:b/>
          <w:bCs/>
          <w:color w:val="000000"/>
          <w:kern w:val="0"/>
          <w14:ligatures w14:val="none"/>
        </w:rPr>
        <w:t>monada</w:t>
      </w:r>
      <w:r w:rsidRPr="00D32BBD">
        <w:rPr>
          <w:rFonts w:ascii="Times New Roman" w:eastAsia="Times New Roman" w:hAnsi="Times New Roman" w:cs="Times New Roman"/>
          <w:color w:val="000000"/>
          <w:kern w:val="0"/>
          <w14:ligatures w14:val="none"/>
        </w:rPr>
        <w:t>. La conciencia que encuentra su fundamento en el punto se define por la </w:t>
      </w:r>
      <w:r w:rsidRPr="00D32BBD">
        <w:rPr>
          <w:rFonts w:ascii="Times New Roman" w:eastAsia="Times New Roman" w:hAnsi="Times New Roman" w:cs="Times New Roman"/>
          <w:b/>
          <w:bCs/>
          <w:color w:val="000000"/>
          <w:kern w:val="0"/>
          <w14:ligatures w14:val="none"/>
        </w:rPr>
        <w:t>auto-contención</w:t>
      </w:r>
      <w:r w:rsidRPr="00D32BBD">
        <w:rPr>
          <w:rFonts w:ascii="Times New Roman" w:eastAsia="Times New Roman" w:hAnsi="Times New Roman" w:cs="Times New Roman"/>
          <w:color w:val="000000"/>
          <w:kern w:val="0"/>
          <w14:ligatures w14:val="none"/>
        </w:rPr>
        <w:t>, por una insensibilidad metafísica que no equivale a frialdad pasiva sino a virtud moral: la capacidad de no dejarse determinar por inclinaciones o deseos.</w:t>
      </w:r>
    </w:p>
    <w:p w14:paraId="5FC0CB70"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En este ensayo sostengo que la </w:t>
      </w:r>
      <w:r w:rsidRPr="00D32BBD">
        <w:rPr>
          <w:rFonts w:ascii="Times New Roman" w:eastAsia="Times New Roman" w:hAnsi="Times New Roman" w:cs="Times New Roman"/>
          <w:b/>
          <w:bCs/>
          <w:color w:val="000000"/>
          <w:kern w:val="0"/>
          <w14:ligatures w14:val="none"/>
        </w:rPr>
        <w:t>apercepción de la conciencia pura</w:t>
      </w:r>
      <w:r w:rsidRPr="00D32BBD">
        <w:rPr>
          <w:rFonts w:ascii="Times New Roman" w:eastAsia="Times New Roman" w:hAnsi="Times New Roman" w:cs="Times New Roman"/>
          <w:color w:val="000000"/>
          <w:kern w:val="0"/>
          <w14:ligatures w14:val="none"/>
        </w:rPr>
        <w:t> implica necesariamente una experiencia de lo </w:t>
      </w:r>
      <w:r w:rsidRPr="00D32BBD">
        <w:rPr>
          <w:rFonts w:ascii="Times New Roman" w:eastAsia="Times New Roman" w:hAnsi="Times New Roman" w:cs="Times New Roman"/>
          <w:b/>
          <w:bCs/>
          <w:color w:val="000000"/>
          <w:kern w:val="0"/>
          <w14:ligatures w14:val="none"/>
        </w:rPr>
        <w:t>adimensional</w:t>
      </w:r>
      <w:r w:rsidRPr="00D32BBD">
        <w:rPr>
          <w:rFonts w:ascii="Times New Roman" w:eastAsia="Times New Roman" w:hAnsi="Times New Roman" w:cs="Times New Roman"/>
          <w:color w:val="000000"/>
          <w:kern w:val="0"/>
          <w14:ligatures w14:val="none"/>
        </w:rPr>
        <w:t> —un contacto con lo universal que trasciende las medidas del espacio y del tiempo— y que, paradójicamente, </w:t>
      </w:r>
      <w:r w:rsidRPr="00D32BBD">
        <w:rPr>
          <w:rFonts w:ascii="Times New Roman" w:eastAsia="Times New Roman" w:hAnsi="Times New Roman" w:cs="Times New Roman"/>
          <w:b/>
          <w:bCs/>
          <w:color w:val="000000"/>
          <w:kern w:val="0"/>
          <w14:ligatures w14:val="none"/>
        </w:rPr>
        <w:t>el deseo mismo que anhela esa experiencia la impide</w:t>
      </w:r>
      <w:r w:rsidRPr="00D32BBD">
        <w:rPr>
          <w:rFonts w:ascii="Times New Roman" w:eastAsia="Times New Roman" w:hAnsi="Times New Roman" w:cs="Times New Roman"/>
          <w:color w:val="000000"/>
          <w:kern w:val="0"/>
          <w14:ligatures w14:val="none"/>
        </w:rPr>
        <w:t>. Sólo una motivación moral auténtica, una voluntad que actúa por deber y no por inclinación, posibilita la verdadera aprehensión intelectiva. Para mostrar esta tesis adopto un procedimiento doble: (a) desarrollar con precisión la analogía geométrica entre punto/dimensión y monada/voluntad; y (b) comparar y contrastar cómo diversas tradiciones culturales y filosóficas han nombrado y pensado esa experiencia adimensional.</w:t>
      </w:r>
    </w:p>
    <w:p w14:paraId="02496401" w14:textId="77777777" w:rsidR="00D32BBD" w:rsidRPr="00D32BBD" w:rsidRDefault="001E07DE" w:rsidP="00D32BBD">
      <w:pPr>
        <w:spacing w:after="0" w:line="240" w:lineRule="auto"/>
        <w:rPr>
          <w:rFonts w:ascii="Times New Roman" w:eastAsia="Times New Roman" w:hAnsi="Times New Roman" w:cs="Times New Roman"/>
          <w:kern w:val="0"/>
          <w14:ligatures w14:val="none"/>
        </w:rPr>
      </w:pPr>
      <w:r w:rsidRPr="001E07DE">
        <w:rPr>
          <w:rFonts w:ascii="Times New Roman" w:eastAsia="Times New Roman" w:hAnsi="Times New Roman" w:cs="Times New Roman"/>
          <w:noProof/>
          <w:kern w:val="0"/>
        </w:rPr>
        <w:pict w14:anchorId="55743894">
          <v:rect id="_x0000_i1036" alt="" style="width:468pt;height:.05pt;mso-width-percent:0;mso-height-percent:0;mso-width-percent:0;mso-height-percent:0" o:hralign="center" o:hrstd="t" o:hr="t" fillcolor="#a0a0a0" stroked="f"/>
        </w:pict>
      </w:r>
    </w:p>
    <w:p w14:paraId="548E2572"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I. El punto como límite ontológico</w:t>
      </w:r>
    </w:p>
    <w:p w14:paraId="6C3F7143"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1. Naturaleza formal del punto</w:t>
      </w:r>
    </w:p>
    <w:p w14:paraId="58E908EE"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El punto, en geometría, es el objeto por excelencia sin dimensión: </w:t>
      </w:r>
      <w:r w:rsidRPr="00D32BBD">
        <w:rPr>
          <w:rFonts w:ascii="Times New Roman" w:eastAsia="Times New Roman" w:hAnsi="Times New Roman" w:cs="Times New Roman"/>
          <w:b/>
          <w:bCs/>
          <w:color w:val="000000"/>
          <w:kern w:val="0"/>
          <w14:ligatures w14:val="none"/>
        </w:rPr>
        <w:t>0D</w:t>
      </w:r>
      <w:r w:rsidRPr="00D32BBD">
        <w:rPr>
          <w:rFonts w:ascii="Times New Roman" w:eastAsia="Times New Roman" w:hAnsi="Times New Roman" w:cs="Times New Roman"/>
          <w:color w:val="000000"/>
          <w:kern w:val="0"/>
          <w14:ligatures w14:val="none"/>
        </w:rPr>
        <w:t>. No tiene longitud, ni área, ni volumen; no puede medirse ni dividirse. Aun así, constituye el </w:t>
      </w:r>
      <w:r w:rsidRPr="00D32BBD">
        <w:rPr>
          <w:rFonts w:ascii="Times New Roman" w:eastAsia="Times New Roman" w:hAnsi="Times New Roman" w:cs="Times New Roman"/>
          <w:b/>
          <w:bCs/>
          <w:color w:val="000000"/>
          <w:kern w:val="0"/>
          <w14:ligatures w14:val="none"/>
        </w:rPr>
        <w:t>principio estructural</w:t>
      </w:r>
      <w:r w:rsidRPr="00D32BBD">
        <w:rPr>
          <w:rFonts w:ascii="Times New Roman" w:eastAsia="Times New Roman" w:hAnsi="Times New Roman" w:cs="Times New Roman"/>
          <w:color w:val="000000"/>
          <w:kern w:val="0"/>
          <w14:ligatures w14:val="none"/>
        </w:rPr>
        <w:t> de la geometría: sin puntos no hay rectas, ni planos, ni superficies. Como tal, el punto es simultáneamente </w:t>
      </w:r>
      <w:r w:rsidRPr="00D32BBD">
        <w:rPr>
          <w:rFonts w:ascii="Times New Roman" w:eastAsia="Times New Roman" w:hAnsi="Times New Roman" w:cs="Times New Roman"/>
          <w:b/>
          <w:bCs/>
          <w:color w:val="000000"/>
          <w:kern w:val="0"/>
          <w14:ligatures w14:val="none"/>
        </w:rPr>
        <w:t>absoluto en su pureza</w:t>
      </w:r>
      <w:r w:rsidRPr="00D32BBD">
        <w:rPr>
          <w:rFonts w:ascii="Times New Roman" w:eastAsia="Times New Roman" w:hAnsi="Times New Roman" w:cs="Times New Roman"/>
          <w:color w:val="000000"/>
          <w:kern w:val="0"/>
          <w14:ligatures w14:val="none"/>
        </w:rPr>
        <w:t> y </w:t>
      </w:r>
      <w:r w:rsidRPr="00D32BBD">
        <w:rPr>
          <w:rFonts w:ascii="Times New Roman" w:eastAsia="Times New Roman" w:hAnsi="Times New Roman" w:cs="Times New Roman"/>
          <w:b/>
          <w:bCs/>
          <w:color w:val="000000"/>
          <w:kern w:val="0"/>
          <w14:ligatures w14:val="none"/>
        </w:rPr>
        <w:t>relacional en su función</w:t>
      </w:r>
      <w:r w:rsidRPr="00D32BBD">
        <w:rPr>
          <w:rFonts w:ascii="Times New Roman" w:eastAsia="Times New Roman" w:hAnsi="Times New Roman" w:cs="Times New Roman"/>
          <w:color w:val="000000"/>
          <w:kern w:val="0"/>
          <w14:ligatures w14:val="none"/>
        </w:rPr>
        <w:t>: es absoluto en tanto no admite subdivisión, relacional porque sólo adquiere sentido por su posición respecto de otros puntos.</w:t>
      </w:r>
    </w:p>
    <w:p w14:paraId="7F087A62"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2. Límite ontológico</w:t>
      </w:r>
    </w:p>
    <w:p w14:paraId="034BFF56"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Más allá de la definición matemática, el punto puede pensarse ontológicamente como </w:t>
      </w:r>
      <w:r w:rsidRPr="00D32BBD">
        <w:rPr>
          <w:rFonts w:ascii="Times New Roman" w:eastAsia="Times New Roman" w:hAnsi="Times New Roman" w:cs="Times New Roman"/>
          <w:b/>
          <w:bCs/>
          <w:color w:val="000000"/>
          <w:kern w:val="0"/>
          <w14:ligatures w14:val="none"/>
        </w:rPr>
        <w:t>el borde interior del ser</w:t>
      </w:r>
      <w:r w:rsidRPr="00D32BBD">
        <w:rPr>
          <w:rFonts w:ascii="Times New Roman" w:eastAsia="Times New Roman" w:hAnsi="Times New Roman" w:cs="Times New Roman"/>
          <w:color w:val="000000"/>
          <w:kern w:val="0"/>
          <w14:ligatures w14:val="none"/>
        </w:rPr>
        <w:t>: el mínimo existente que separa la nada del algo. Es un límite porque no puede ser traspasado ni sobrepasado sin dejar de ser punto. Es, por tanto, </w:t>
      </w:r>
      <w:r w:rsidRPr="00D32BBD">
        <w:rPr>
          <w:rFonts w:ascii="Times New Roman" w:eastAsia="Times New Roman" w:hAnsi="Times New Roman" w:cs="Times New Roman"/>
          <w:b/>
          <w:bCs/>
          <w:color w:val="000000"/>
          <w:kern w:val="0"/>
          <w14:ligatures w14:val="none"/>
        </w:rPr>
        <w:t>núcleo</w:t>
      </w:r>
      <w:r w:rsidRPr="00D32BBD">
        <w:rPr>
          <w:rFonts w:ascii="Times New Roman" w:eastAsia="Times New Roman" w:hAnsi="Times New Roman" w:cs="Times New Roman"/>
          <w:color w:val="000000"/>
          <w:kern w:val="0"/>
          <w14:ligatures w14:val="none"/>
        </w:rPr>
        <w:t>: el lugar originario desde el que se despliegan las relaciones espaciales y conceptuales.</w:t>
      </w:r>
    </w:p>
    <w:p w14:paraId="158F31C7"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3. Sensibilidad metafísica y auto-contención</w:t>
      </w:r>
    </w:p>
    <w:p w14:paraId="3175673A"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lastRenderedPageBreak/>
        <w:t>Aunque el punto es insensible en sentido físico, se puede atribuirle una “sensibilidad” metafísica: la aptitud de </w:t>
      </w:r>
      <w:r w:rsidRPr="00D32BBD">
        <w:rPr>
          <w:rFonts w:ascii="Times New Roman" w:eastAsia="Times New Roman" w:hAnsi="Times New Roman" w:cs="Times New Roman"/>
          <w:b/>
          <w:bCs/>
          <w:color w:val="000000"/>
          <w:kern w:val="0"/>
          <w14:ligatures w14:val="none"/>
        </w:rPr>
        <w:t>fundar relaciones formales</w:t>
      </w:r>
      <w:r w:rsidRPr="00D32BBD">
        <w:rPr>
          <w:rFonts w:ascii="Times New Roman" w:eastAsia="Times New Roman" w:hAnsi="Times New Roman" w:cs="Times New Roman"/>
          <w:color w:val="000000"/>
          <w:kern w:val="0"/>
          <w14:ligatures w14:val="none"/>
        </w:rPr>
        <w:t> —de ser origen de distancias y direcciones— sin perder su integridad. Esta sensibilidad exige </w:t>
      </w:r>
      <w:r w:rsidRPr="00D32BBD">
        <w:rPr>
          <w:rFonts w:ascii="Times New Roman" w:eastAsia="Times New Roman" w:hAnsi="Times New Roman" w:cs="Times New Roman"/>
          <w:b/>
          <w:bCs/>
          <w:color w:val="000000"/>
          <w:kern w:val="0"/>
          <w14:ligatures w14:val="none"/>
        </w:rPr>
        <w:t>auto-contención absoluta</w:t>
      </w:r>
      <w:r w:rsidRPr="00D32BBD">
        <w:rPr>
          <w:rFonts w:ascii="Times New Roman" w:eastAsia="Times New Roman" w:hAnsi="Times New Roman" w:cs="Times New Roman"/>
          <w:color w:val="000000"/>
          <w:kern w:val="0"/>
          <w14:ligatures w14:val="none"/>
        </w:rPr>
        <w:t>: si el punto cediera a una inclinación a extenderse, dejaría de ser punto y pasaría a convertirse en línea o superficie. En el plano de la conciencia, la auto-contención significa que el núcleo de la experiencia no se disuelve en las pulsiones; sólo desde la permanencia del núcleo puede la conciencia formalizarse y aprehenderse.</w:t>
      </w:r>
    </w:p>
    <w:p w14:paraId="0005F4F1" w14:textId="77777777" w:rsidR="00D32BBD" w:rsidRPr="00D32BBD" w:rsidRDefault="001E07DE" w:rsidP="00D32BBD">
      <w:pPr>
        <w:spacing w:after="0" w:line="240" w:lineRule="auto"/>
        <w:rPr>
          <w:rFonts w:ascii="Times New Roman" w:eastAsia="Times New Roman" w:hAnsi="Times New Roman" w:cs="Times New Roman"/>
          <w:kern w:val="0"/>
          <w14:ligatures w14:val="none"/>
        </w:rPr>
      </w:pPr>
      <w:r w:rsidRPr="001E07DE">
        <w:rPr>
          <w:rFonts w:ascii="Times New Roman" w:eastAsia="Times New Roman" w:hAnsi="Times New Roman" w:cs="Times New Roman"/>
          <w:noProof/>
          <w:kern w:val="0"/>
        </w:rPr>
        <w:pict w14:anchorId="79F1149A">
          <v:rect id="_x0000_i1035" alt="" style="width:468pt;height:.05pt;mso-width-percent:0;mso-height-percent:0;mso-width-percent:0;mso-height-percent:0" o:hralign="center" o:hrstd="t" o:hr="t" fillcolor="#a0a0a0" stroked="f"/>
        </w:pict>
      </w:r>
    </w:p>
    <w:p w14:paraId="7F925EFE"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II. Líneas como pensamientos; pulsiones mentales</w:t>
      </w:r>
    </w:p>
    <w:p w14:paraId="2D53453D"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1. La línea como proyección del núcleo</w:t>
      </w:r>
    </w:p>
    <w:p w14:paraId="6E940C4D"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Si el punto es el centro, las </w:t>
      </w:r>
      <w:r w:rsidRPr="00D32BBD">
        <w:rPr>
          <w:rFonts w:ascii="Times New Roman" w:eastAsia="Times New Roman" w:hAnsi="Times New Roman" w:cs="Times New Roman"/>
          <w:b/>
          <w:bCs/>
          <w:color w:val="000000"/>
          <w:kern w:val="0"/>
          <w14:ligatures w14:val="none"/>
        </w:rPr>
        <w:t>líneas</w:t>
      </w:r>
      <w:r w:rsidRPr="00D32BBD">
        <w:rPr>
          <w:rFonts w:ascii="Times New Roman" w:eastAsia="Times New Roman" w:hAnsi="Times New Roman" w:cs="Times New Roman"/>
          <w:color w:val="000000"/>
          <w:kern w:val="0"/>
          <w14:ligatures w14:val="none"/>
        </w:rPr>
        <w:t> son sus emanaciones formales: representan direcciones, tensiones, desplazamientos. En la analogía psicológica, cada línea equivale a un </w:t>
      </w:r>
      <w:r w:rsidRPr="00D32BBD">
        <w:rPr>
          <w:rFonts w:ascii="Times New Roman" w:eastAsia="Times New Roman" w:hAnsi="Times New Roman" w:cs="Times New Roman"/>
          <w:b/>
          <w:bCs/>
          <w:color w:val="000000"/>
          <w:kern w:val="0"/>
          <w14:ligatures w14:val="none"/>
        </w:rPr>
        <w:t>pensamiento</w:t>
      </w:r>
      <w:r w:rsidRPr="00D32BBD">
        <w:rPr>
          <w:rFonts w:ascii="Times New Roman" w:eastAsia="Times New Roman" w:hAnsi="Times New Roman" w:cs="Times New Roman"/>
          <w:color w:val="000000"/>
          <w:kern w:val="0"/>
          <w14:ligatures w14:val="none"/>
        </w:rPr>
        <w:t>, a una </w:t>
      </w:r>
      <w:r w:rsidRPr="00D32BBD">
        <w:rPr>
          <w:rFonts w:ascii="Times New Roman" w:eastAsia="Times New Roman" w:hAnsi="Times New Roman" w:cs="Times New Roman"/>
          <w:b/>
          <w:bCs/>
          <w:color w:val="000000"/>
          <w:kern w:val="0"/>
          <w14:ligatures w14:val="none"/>
        </w:rPr>
        <w:t>pulsión mental</w:t>
      </w:r>
      <w:r w:rsidRPr="00D32BBD">
        <w:rPr>
          <w:rFonts w:ascii="Times New Roman" w:eastAsia="Times New Roman" w:hAnsi="Times New Roman" w:cs="Times New Roman"/>
          <w:color w:val="000000"/>
          <w:kern w:val="0"/>
          <w14:ligatures w14:val="none"/>
        </w:rPr>
        <w:t>: no son el fundamento, sino sus expresiones. A partir del núcleo (punto) se trazan líneas que apuntan —metafóricamente— hacia objetos, ideas o acciones.</w:t>
      </w:r>
    </w:p>
    <w:p w14:paraId="40A8C954"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2. Pensamiento y pulsión: relación y distinción</w:t>
      </w:r>
    </w:p>
    <w:p w14:paraId="26406FD0"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Los pensamientos que emergen del núcleo no son idénticos a las pulsiones: las pulsiones son fuerzas motivacionales, a menudo con carga afectiva y apetitiva; los pensamientos son formas formalizadas que pueden contener, trascender o ser moldeados por esas pulsiones. La conciencia autocontenida </w:t>
      </w:r>
      <w:r w:rsidRPr="00D32BBD">
        <w:rPr>
          <w:rFonts w:ascii="Times New Roman" w:eastAsia="Times New Roman" w:hAnsi="Times New Roman" w:cs="Times New Roman"/>
          <w:b/>
          <w:bCs/>
          <w:color w:val="000000"/>
          <w:kern w:val="0"/>
          <w14:ligatures w14:val="none"/>
        </w:rPr>
        <w:t>reconoce</w:t>
      </w:r>
      <w:r w:rsidRPr="00D32BBD">
        <w:rPr>
          <w:rFonts w:ascii="Times New Roman" w:eastAsia="Times New Roman" w:hAnsi="Times New Roman" w:cs="Times New Roman"/>
          <w:color w:val="000000"/>
          <w:kern w:val="0"/>
          <w14:ligatures w14:val="none"/>
        </w:rPr>
        <w:t> las pulsiones y las traduce en líneas (pensamientos) sin dejar de ser núcleo puro: así se conserva la integridad epistemológica y moral.</w:t>
      </w:r>
    </w:p>
    <w:p w14:paraId="110E3F4E" w14:textId="77777777" w:rsidR="00D32BBD" w:rsidRPr="00D32BBD" w:rsidRDefault="001E07DE" w:rsidP="00D32BBD">
      <w:pPr>
        <w:spacing w:after="0" w:line="240" w:lineRule="auto"/>
        <w:rPr>
          <w:rFonts w:ascii="Times New Roman" w:eastAsia="Times New Roman" w:hAnsi="Times New Roman" w:cs="Times New Roman"/>
          <w:kern w:val="0"/>
          <w14:ligatures w14:val="none"/>
        </w:rPr>
      </w:pPr>
      <w:r w:rsidRPr="001E07DE">
        <w:rPr>
          <w:rFonts w:ascii="Times New Roman" w:eastAsia="Times New Roman" w:hAnsi="Times New Roman" w:cs="Times New Roman"/>
          <w:noProof/>
          <w:kern w:val="0"/>
        </w:rPr>
        <w:pict w14:anchorId="3DA61993">
          <v:rect id="_x0000_i1034" alt="" style="width:468pt;height:.05pt;mso-width-percent:0;mso-height-percent:0;mso-width-percent:0;mso-height-percent:0" o:hralign="center" o:hrstd="t" o:hr="t" fillcolor="#a0a0a0" stroked="f"/>
        </w:pict>
      </w:r>
    </w:p>
    <w:p w14:paraId="6A9F4469"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III. La monada: el núcleo monádico de la conciencia</w:t>
      </w:r>
    </w:p>
    <w:p w14:paraId="7B106F5F"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1. Leibniz y la monada</w:t>
      </w:r>
    </w:p>
    <w:p w14:paraId="408D79AF"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Leibniz presenta la monada como entidad simples, indivisible, íntima y autocontenida, que refleja el universo “desde dentro” sin ventanas por las cuales ser afectada literalmente. Esta imagen es afín al punto: la monada es un </w:t>
      </w:r>
      <w:r w:rsidRPr="00D32BBD">
        <w:rPr>
          <w:rFonts w:ascii="Times New Roman" w:eastAsia="Times New Roman" w:hAnsi="Times New Roman" w:cs="Times New Roman"/>
          <w:b/>
          <w:bCs/>
          <w:color w:val="000000"/>
          <w:kern w:val="0"/>
          <w14:ligatures w14:val="none"/>
        </w:rPr>
        <w:t>centro de representación</w:t>
      </w:r>
      <w:r w:rsidRPr="00D32BBD">
        <w:rPr>
          <w:rFonts w:ascii="Times New Roman" w:eastAsia="Times New Roman" w:hAnsi="Times New Roman" w:cs="Times New Roman"/>
          <w:color w:val="000000"/>
          <w:kern w:val="0"/>
          <w14:ligatures w14:val="none"/>
        </w:rPr>
        <w:t>, un lugar primero de percepción y apetito ordenado internamente.</w:t>
      </w:r>
    </w:p>
    <w:p w14:paraId="0E821741"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2. Monada y punto: convergencia de propiedades</w:t>
      </w:r>
    </w:p>
    <w:p w14:paraId="2FC2C293"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Ambos —punto y monada— comparten:</w:t>
      </w:r>
    </w:p>
    <w:p w14:paraId="5DAF5073" w14:textId="77777777" w:rsidR="00D32BBD" w:rsidRPr="00D32BBD" w:rsidRDefault="00D32BBD" w:rsidP="00D32BB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Indivisibilidad.</w:t>
      </w:r>
    </w:p>
    <w:p w14:paraId="29AE3DD2" w14:textId="77777777" w:rsidR="00D32BBD" w:rsidRPr="00D32BBD" w:rsidRDefault="00D32BBD" w:rsidP="00D32BB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Autosuficiencia.</w:t>
      </w:r>
    </w:p>
    <w:p w14:paraId="1C86664D" w14:textId="77777777" w:rsidR="00D32BBD" w:rsidRPr="00D32BBD" w:rsidRDefault="00D32BBD" w:rsidP="00D32BB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Capacidad de reflejar relaciones sin estar determinadas exteriormente de forma directa.</w:t>
      </w:r>
    </w:p>
    <w:p w14:paraId="6B0F569C"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lastRenderedPageBreak/>
        <w:t>La monada, como núcleo de voluntad y aprehensión, permite pensar cómo la conciencia organiza su mundo interno sin perder su autonomía esencial.</w:t>
      </w:r>
    </w:p>
    <w:p w14:paraId="467A992E" w14:textId="77777777" w:rsidR="00D32BBD" w:rsidRPr="00D32BBD" w:rsidRDefault="001E07DE" w:rsidP="00D32BBD">
      <w:pPr>
        <w:spacing w:after="0" w:line="240" w:lineRule="auto"/>
        <w:rPr>
          <w:rFonts w:ascii="Times New Roman" w:eastAsia="Times New Roman" w:hAnsi="Times New Roman" w:cs="Times New Roman"/>
          <w:kern w:val="0"/>
          <w14:ligatures w14:val="none"/>
        </w:rPr>
      </w:pPr>
      <w:r w:rsidRPr="001E07DE">
        <w:rPr>
          <w:rFonts w:ascii="Times New Roman" w:eastAsia="Times New Roman" w:hAnsi="Times New Roman" w:cs="Times New Roman"/>
          <w:noProof/>
          <w:kern w:val="0"/>
        </w:rPr>
        <w:pict w14:anchorId="77689D5D">
          <v:rect id="_x0000_i1033" alt="" style="width:468pt;height:.05pt;mso-width-percent:0;mso-height-percent:0;mso-width-percent:0;mso-height-percent:0" o:hralign="center" o:hrstd="t" o:hr="t" fillcolor="#a0a0a0" stroked="f"/>
        </w:pict>
      </w:r>
    </w:p>
    <w:p w14:paraId="685352F3"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IV. Voluntad, insensibilidad y virtud moral (Kant)</w:t>
      </w:r>
    </w:p>
    <w:p w14:paraId="5FA21AED"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1. Distinción kantiana: motivación por inclinación vs. motivación por deber</w:t>
      </w:r>
    </w:p>
    <w:p w14:paraId="68EFF074"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En Kant, la moralidad genuina no depende de las inclinaciones ni de la búsqueda de placer; depende de la </w:t>
      </w:r>
      <w:r w:rsidRPr="00D32BBD">
        <w:rPr>
          <w:rFonts w:ascii="Times New Roman" w:eastAsia="Times New Roman" w:hAnsi="Times New Roman" w:cs="Times New Roman"/>
          <w:b/>
          <w:bCs/>
          <w:color w:val="000000"/>
          <w:kern w:val="0"/>
          <w14:ligatures w14:val="none"/>
        </w:rPr>
        <w:t>voluntad que actúa según la ley moral</w:t>
      </w:r>
      <w:r w:rsidRPr="00D32BBD">
        <w:rPr>
          <w:rFonts w:ascii="Times New Roman" w:eastAsia="Times New Roman" w:hAnsi="Times New Roman" w:cs="Times New Roman"/>
          <w:color w:val="000000"/>
          <w:kern w:val="0"/>
          <w14:ligatures w14:val="none"/>
        </w:rPr>
        <w:t>. Una acción moralmente valiosa no es valiosa por el resultado ni por la satisfacción que provoca, sino por la </w:t>
      </w:r>
      <w:r w:rsidRPr="00D32BBD">
        <w:rPr>
          <w:rFonts w:ascii="Times New Roman" w:eastAsia="Times New Roman" w:hAnsi="Times New Roman" w:cs="Times New Roman"/>
          <w:b/>
          <w:bCs/>
          <w:color w:val="000000"/>
          <w:kern w:val="0"/>
          <w14:ligatures w14:val="none"/>
        </w:rPr>
        <w:t>maxima</w:t>
      </w:r>
      <w:r w:rsidRPr="00D32BBD">
        <w:rPr>
          <w:rFonts w:ascii="Times New Roman" w:eastAsia="Times New Roman" w:hAnsi="Times New Roman" w:cs="Times New Roman"/>
          <w:color w:val="000000"/>
          <w:kern w:val="0"/>
          <w14:ligatures w14:val="none"/>
        </w:rPr>
        <w:t> que la motiva: obrar por respeto al deber.</w:t>
      </w:r>
    </w:p>
    <w:p w14:paraId="57E883BB"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2. Insensibilidad como virtud moral</w:t>
      </w:r>
    </w:p>
    <w:p w14:paraId="0E1284DD"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La “insensibilidad” de la que hablamos no es apatía, sino la capacidad de </w:t>
      </w:r>
      <w:r w:rsidRPr="00D32BBD">
        <w:rPr>
          <w:rFonts w:ascii="Times New Roman" w:eastAsia="Times New Roman" w:hAnsi="Times New Roman" w:cs="Times New Roman"/>
          <w:b/>
          <w:bCs/>
          <w:color w:val="000000"/>
          <w:kern w:val="0"/>
          <w14:ligatures w14:val="none"/>
        </w:rPr>
        <w:t>no ser gobernado por inclinaciones</w:t>
      </w:r>
      <w:r w:rsidRPr="00D32BBD">
        <w:rPr>
          <w:rFonts w:ascii="Times New Roman" w:eastAsia="Times New Roman" w:hAnsi="Times New Roman" w:cs="Times New Roman"/>
          <w:color w:val="000000"/>
          <w:kern w:val="0"/>
          <w14:ligatures w14:val="none"/>
        </w:rPr>
        <w:t>. Es una forma de resistencia ética: la voluntad se mantiene firme ante las pulsiones. En el esquema geométrico, esa insensibilidad corresponde a la inmutabilidad del punto: la voluntad santa (autocontenida) no se extiende por gratificaciones individuales y por ello puede producir una actividad intelectiva auténtica.</w:t>
      </w:r>
    </w:p>
    <w:p w14:paraId="777FC349"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3. Voluntad santa vs. voluntad con inclinaciones</w:t>
      </w:r>
    </w:p>
    <w:p w14:paraId="7B73BFC7"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La </w:t>
      </w:r>
      <w:r w:rsidRPr="00D32BBD">
        <w:rPr>
          <w:rFonts w:ascii="Times New Roman" w:eastAsia="Times New Roman" w:hAnsi="Times New Roman" w:cs="Times New Roman"/>
          <w:b/>
          <w:bCs/>
          <w:color w:val="000000"/>
          <w:kern w:val="0"/>
          <w14:ligatures w14:val="none"/>
        </w:rPr>
        <w:t>voluntad con inclinaciones</w:t>
      </w:r>
      <w:r w:rsidRPr="00D32BBD">
        <w:rPr>
          <w:rFonts w:ascii="Times New Roman" w:eastAsia="Times New Roman" w:hAnsi="Times New Roman" w:cs="Times New Roman"/>
          <w:color w:val="000000"/>
          <w:kern w:val="0"/>
          <w14:ligatures w14:val="none"/>
        </w:rPr>
        <w:t> vive fragmentada: sus decisiones están mediadas por deseos que la desvían. En cambio, la </w:t>
      </w:r>
      <w:r w:rsidRPr="00D32BBD">
        <w:rPr>
          <w:rFonts w:ascii="Times New Roman" w:eastAsia="Times New Roman" w:hAnsi="Times New Roman" w:cs="Times New Roman"/>
          <w:b/>
          <w:bCs/>
          <w:color w:val="000000"/>
          <w:kern w:val="0"/>
          <w14:ligatures w14:val="none"/>
        </w:rPr>
        <w:t>voluntad santa</w:t>
      </w:r>
      <w:r w:rsidRPr="00D32BBD">
        <w:rPr>
          <w:rFonts w:ascii="Times New Roman" w:eastAsia="Times New Roman" w:hAnsi="Times New Roman" w:cs="Times New Roman"/>
          <w:color w:val="000000"/>
          <w:kern w:val="0"/>
          <w14:ligatures w14:val="none"/>
        </w:rPr>
        <w:t> mantiene la unidad y la pureza del núcleo: su actividad intelectual y perceptiva es más nítida porque no está contaminada por intereses particulares.</w:t>
      </w:r>
    </w:p>
    <w:p w14:paraId="229123AA" w14:textId="77777777" w:rsidR="00D32BBD" w:rsidRPr="00D32BBD" w:rsidRDefault="001E07DE" w:rsidP="00D32BBD">
      <w:pPr>
        <w:spacing w:after="0" w:line="240" w:lineRule="auto"/>
        <w:rPr>
          <w:rFonts w:ascii="Times New Roman" w:eastAsia="Times New Roman" w:hAnsi="Times New Roman" w:cs="Times New Roman"/>
          <w:kern w:val="0"/>
          <w14:ligatures w14:val="none"/>
        </w:rPr>
      </w:pPr>
      <w:r w:rsidRPr="001E07DE">
        <w:rPr>
          <w:rFonts w:ascii="Times New Roman" w:eastAsia="Times New Roman" w:hAnsi="Times New Roman" w:cs="Times New Roman"/>
          <w:noProof/>
          <w:kern w:val="0"/>
        </w:rPr>
        <w:pict w14:anchorId="56293338">
          <v:rect id="_x0000_i1032" alt="" style="width:468pt;height:.05pt;mso-width-percent:0;mso-height-percent:0;mso-width-percent:0;mso-height-percent:0" o:hralign="center" o:hrstd="t" o:hr="t" fillcolor="#a0a0a0" stroked="f"/>
        </w:pict>
      </w:r>
    </w:p>
    <w:p w14:paraId="3511F9AA"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V. La experiencia adimensional: apercepción fuera del tiempo y del espacio</w:t>
      </w:r>
    </w:p>
    <w:p w14:paraId="0DA3BE7C"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1. ¿Qué entendemos por adimensionalidad?</w:t>
      </w:r>
    </w:p>
    <w:p w14:paraId="5DCF58B6"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Decimos que una experiencia es </w:t>
      </w:r>
      <w:r w:rsidRPr="00D32BBD">
        <w:rPr>
          <w:rFonts w:ascii="Times New Roman" w:eastAsia="Times New Roman" w:hAnsi="Times New Roman" w:cs="Times New Roman"/>
          <w:b/>
          <w:bCs/>
          <w:color w:val="000000"/>
          <w:kern w:val="0"/>
          <w14:ligatures w14:val="none"/>
        </w:rPr>
        <w:t>adimensional</w:t>
      </w:r>
      <w:r w:rsidRPr="00D32BBD">
        <w:rPr>
          <w:rFonts w:ascii="Times New Roman" w:eastAsia="Times New Roman" w:hAnsi="Times New Roman" w:cs="Times New Roman"/>
          <w:color w:val="000000"/>
          <w:kern w:val="0"/>
          <w14:ligatures w14:val="none"/>
        </w:rPr>
        <w:t> cuando no está sujeta a las medidas convencionales del espacio y del tiempo. Es una aprehensión de la universalidad —un conocer desde el centro— que no se mueve en coordenadas extensivas. El punto, por definición, es adimensional: por analogía, la conciencia pura que lo refleja tiene acceso a una experiencia que no es ni aquí ni ahora en sentido espacial-temporal.</w:t>
      </w:r>
    </w:p>
    <w:p w14:paraId="768B2AC3"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2. Por qué el deseo impide la experiencia adimensional</w:t>
      </w:r>
    </w:p>
    <w:p w14:paraId="53F46337"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Paradoja crucial: el deseo que anhela la experiencia adimensional la convierte en imposible. La razón es formal y ética:</w:t>
      </w:r>
    </w:p>
    <w:p w14:paraId="618F0FDE" w14:textId="77777777" w:rsidR="00D32BBD" w:rsidRPr="00D32BBD" w:rsidRDefault="00D32BBD" w:rsidP="00D32BB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lastRenderedPageBreak/>
        <w:t>Formal: el deseo introduce una orientación teleológica que ubica la conciencia en el horizonte de la obtención; la intención de obtener es ya una extensión, una línea que compromete la pureza 0D del núcleo.</w:t>
      </w:r>
    </w:p>
    <w:p w14:paraId="48609E26" w14:textId="77777777" w:rsidR="00D32BBD" w:rsidRPr="00D32BBD" w:rsidRDefault="00D32BBD" w:rsidP="00D32BB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Ética: la motivación por placer o reconocimiento impide la libertad de la voluntad frente a la ley moral; la acción se convierte en búsqueda, no en deber, y la conciencia deja de ser punto puro para asumir la forma de una línea o un volumen.</w:t>
      </w:r>
    </w:p>
    <w:p w14:paraId="3DA0043A"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Por tanto, </w:t>
      </w:r>
      <w:r w:rsidRPr="00D32BBD">
        <w:rPr>
          <w:rFonts w:ascii="Times New Roman" w:eastAsia="Times New Roman" w:hAnsi="Times New Roman" w:cs="Times New Roman"/>
          <w:b/>
          <w:bCs/>
          <w:color w:val="000000"/>
          <w:kern w:val="0"/>
          <w14:ligatures w14:val="none"/>
        </w:rPr>
        <w:t>el deseo obstaculiza la aprehensión adimensional</w:t>
      </w:r>
      <w:r w:rsidRPr="00D32BBD">
        <w:rPr>
          <w:rFonts w:ascii="Times New Roman" w:eastAsia="Times New Roman" w:hAnsi="Times New Roman" w:cs="Times New Roman"/>
          <w:color w:val="000000"/>
          <w:kern w:val="0"/>
          <w14:ligatures w14:val="none"/>
        </w:rPr>
        <w:t>; sólo una disposición que renuncia a la intención de «conseguir» la experiencia —es decir, una motivación moral auténtica— permite que surja la apercepción pura.</w:t>
      </w:r>
    </w:p>
    <w:p w14:paraId="3ECEF88A" w14:textId="77777777" w:rsidR="00D32BBD" w:rsidRPr="00D32BBD" w:rsidRDefault="001E07DE" w:rsidP="00D32BBD">
      <w:pPr>
        <w:spacing w:after="0" w:line="240" w:lineRule="auto"/>
        <w:rPr>
          <w:rFonts w:ascii="Times New Roman" w:eastAsia="Times New Roman" w:hAnsi="Times New Roman" w:cs="Times New Roman"/>
          <w:kern w:val="0"/>
          <w14:ligatures w14:val="none"/>
        </w:rPr>
      </w:pPr>
      <w:r w:rsidRPr="001E07DE">
        <w:rPr>
          <w:rFonts w:ascii="Times New Roman" w:eastAsia="Times New Roman" w:hAnsi="Times New Roman" w:cs="Times New Roman"/>
          <w:noProof/>
          <w:kern w:val="0"/>
        </w:rPr>
        <w:pict w14:anchorId="35BF9848">
          <v:rect id="_x0000_i1031" alt="" style="width:468pt;height:.05pt;mso-width-percent:0;mso-height-percent:0;mso-width-percent:0;mso-height-percent:0" o:hralign="center" o:hrstd="t" o:hr="t" fillcolor="#a0a0a0" stroked="f"/>
        </w:pict>
      </w:r>
    </w:p>
    <w:p w14:paraId="2521AD50"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VI. Intuición intelectual y santidad: la experiencia auténtica</w:t>
      </w:r>
    </w:p>
    <w:p w14:paraId="18028E1D"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1. Intuición intelectual</w:t>
      </w:r>
    </w:p>
    <w:p w14:paraId="35129CEB"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La intuición intelectual que aquí se afirma es una forma de aprehensión que da acceso directo a una verdad interna, no mediada por sensualidad ni por cálculo instrumental. Requiere un núcleo estable desde el cual pensar y un abandono de la inclinación a la satisfacción.</w:t>
      </w:r>
    </w:p>
    <w:p w14:paraId="261AA78F"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2. Santidad como condición de la experiencia intelectiva</w:t>
      </w:r>
    </w:p>
    <w:p w14:paraId="679AD7AA"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La santidad, entendida en un sentido amplio (no meramente confesional), consiste en la </w:t>
      </w:r>
      <w:r w:rsidRPr="00D32BBD">
        <w:rPr>
          <w:rFonts w:ascii="Times New Roman" w:eastAsia="Times New Roman" w:hAnsi="Times New Roman" w:cs="Times New Roman"/>
          <w:b/>
          <w:bCs/>
          <w:color w:val="000000"/>
          <w:kern w:val="0"/>
          <w14:ligatures w14:val="none"/>
        </w:rPr>
        <w:t>pureza de la voluntad</w:t>
      </w:r>
      <w:r w:rsidRPr="00D32BBD">
        <w:rPr>
          <w:rFonts w:ascii="Times New Roman" w:eastAsia="Times New Roman" w:hAnsi="Times New Roman" w:cs="Times New Roman"/>
          <w:color w:val="000000"/>
          <w:kern w:val="0"/>
          <w14:ligatures w14:val="none"/>
        </w:rPr>
        <w:t>: una disposición moral que prioriza el deber y la verdad sobre la satisfacción personal. Solo así la conciencia puede experimentar su entramado adimensional y producir intuiciones intelectivas genuinas.</w:t>
      </w:r>
    </w:p>
    <w:p w14:paraId="3A506FDF" w14:textId="77777777" w:rsidR="00D32BBD" w:rsidRPr="00D32BBD" w:rsidRDefault="001E07DE" w:rsidP="00D32BBD">
      <w:pPr>
        <w:spacing w:after="0" w:line="240" w:lineRule="auto"/>
        <w:rPr>
          <w:rFonts w:ascii="Times New Roman" w:eastAsia="Times New Roman" w:hAnsi="Times New Roman" w:cs="Times New Roman"/>
          <w:kern w:val="0"/>
          <w14:ligatures w14:val="none"/>
        </w:rPr>
      </w:pPr>
      <w:r w:rsidRPr="001E07DE">
        <w:rPr>
          <w:rFonts w:ascii="Times New Roman" w:eastAsia="Times New Roman" w:hAnsi="Times New Roman" w:cs="Times New Roman"/>
          <w:noProof/>
          <w:kern w:val="0"/>
        </w:rPr>
        <w:pict w14:anchorId="230B4BC3">
          <v:rect id="_x0000_i1030" alt="" style="width:468pt;height:.05pt;mso-width-percent:0;mso-height-percent:0;mso-width-percent:0;mso-height-percent:0" o:hralign="center" o:hrstd="t" o:hr="t" fillcolor="#a0a0a0" stroked="f"/>
        </w:pict>
      </w:r>
    </w:p>
    <w:p w14:paraId="3AE0930E"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VII. Definición y analogía: dimensión — monada — voluntad</w:t>
      </w:r>
    </w:p>
    <w:p w14:paraId="54766025"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Para que la analogía geométrica entre dimensionalidad y monada tenga coherencia formal, se requiere una definición clara de </w:t>
      </w:r>
      <w:r w:rsidRPr="00D32BBD">
        <w:rPr>
          <w:rFonts w:ascii="Times New Roman" w:eastAsia="Times New Roman" w:hAnsi="Times New Roman" w:cs="Times New Roman"/>
          <w:b/>
          <w:bCs/>
          <w:color w:val="000000"/>
          <w:kern w:val="0"/>
          <w14:ligatures w14:val="none"/>
        </w:rPr>
        <w:t>dimensión</w:t>
      </w:r>
      <w:r w:rsidRPr="00D32BBD">
        <w:rPr>
          <w:rFonts w:ascii="Times New Roman" w:eastAsia="Times New Roman" w:hAnsi="Times New Roman" w:cs="Times New Roman"/>
          <w:color w:val="000000"/>
          <w:kern w:val="0"/>
          <w14:ligatures w14:val="none"/>
        </w:rPr>
        <w:t> y una traducción metafísica de ese concepto.</w:t>
      </w:r>
    </w:p>
    <w:p w14:paraId="5C534009"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1. Definición de dimensión (geométrica y metafísica)</w:t>
      </w:r>
    </w:p>
    <w:p w14:paraId="00CC75E3" w14:textId="77777777" w:rsidR="00D32BBD" w:rsidRPr="00D32BBD" w:rsidRDefault="00D32BBD" w:rsidP="00D32BB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b/>
          <w:bCs/>
          <w:color w:val="000000"/>
          <w:kern w:val="0"/>
          <w14:ligatures w14:val="none"/>
        </w:rPr>
        <w:t>Dimensión geométrica</w:t>
      </w:r>
      <w:r w:rsidRPr="00D32BBD">
        <w:rPr>
          <w:rFonts w:ascii="Times New Roman" w:eastAsia="Times New Roman" w:hAnsi="Times New Roman" w:cs="Times New Roman"/>
          <w:color w:val="000000"/>
          <w:kern w:val="0"/>
          <w14:ligatures w14:val="none"/>
        </w:rPr>
        <w:t>: grado de extensión y libertad direccional que posee un objeto. Un punto es 0D: no admite dirección. Una línea es 1D: admite una dirección. Un plano es 2D: admite dos direcciones independientes. Un volumen es 3D: admite tres. La dimensión es la capacidad de proyectarse en direcciones nuevas.</w:t>
      </w:r>
    </w:p>
    <w:p w14:paraId="3ED3260F" w14:textId="77777777" w:rsidR="00D32BBD" w:rsidRPr="00D32BBD" w:rsidRDefault="00D32BBD" w:rsidP="00D32BB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b/>
          <w:bCs/>
          <w:color w:val="000000"/>
          <w:kern w:val="0"/>
          <w14:ligatures w14:val="none"/>
        </w:rPr>
        <w:t>Dimensión metafísica</w:t>
      </w:r>
      <w:r w:rsidRPr="00D32BBD">
        <w:rPr>
          <w:rFonts w:ascii="Times New Roman" w:eastAsia="Times New Roman" w:hAnsi="Times New Roman" w:cs="Times New Roman"/>
          <w:color w:val="000000"/>
          <w:kern w:val="0"/>
          <w14:ligatures w14:val="none"/>
        </w:rPr>
        <w:t> de la conciencia/voluntad: grado de despliegue o manifestación de la actividad volitiva desde su núcleo. No es extensión espacial; es la medida de la </w:t>
      </w:r>
      <w:r w:rsidRPr="00D32BBD">
        <w:rPr>
          <w:rFonts w:ascii="Times New Roman" w:eastAsia="Times New Roman" w:hAnsi="Times New Roman" w:cs="Times New Roman"/>
          <w:b/>
          <w:bCs/>
          <w:color w:val="000000"/>
          <w:kern w:val="0"/>
          <w14:ligatures w14:val="none"/>
        </w:rPr>
        <w:t>expansión relacional</w:t>
      </w:r>
      <w:r w:rsidRPr="00D32BBD">
        <w:rPr>
          <w:rFonts w:ascii="Times New Roman" w:eastAsia="Times New Roman" w:hAnsi="Times New Roman" w:cs="Times New Roman"/>
          <w:color w:val="000000"/>
          <w:kern w:val="0"/>
          <w14:ligatures w14:val="none"/>
        </w:rPr>
        <w:t> de la monada en pensamientos, acciones y estructuras relacionales.</w:t>
      </w:r>
    </w:p>
    <w:p w14:paraId="4567E7D0"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lastRenderedPageBreak/>
        <w:t>2. Analogía formal entre dimensión y monada-voluntad</w:t>
      </w:r>
    </w:p>
    <w:p w14:paraId="3E34FE1D" w14:textId="77777777" w:rsidR="00D32BBD" w:rsidRPr="00D32BBD" w:rsidRDefault="00D32BBD" w:rsidP="00D32BB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b/>
          <w:bCs/>
          <w:color w:val="000000"/>
          <w:kern w:val="0"/>
          <w14:ligatures w14:val="none"/>
        </w:rPr>
        <w:t>Punto 0D → Monada / Voluntad pura</w:t>
      </w:r>
      <w:r w:rsidRPr="00D32BBD">
        <w:rPr>
          <w:rFonts w:ascii="Times New Roman" w:eastAsia="Times New Roman" w:hAnsi="Times New Roman" w:cs="Times New Roman"/>
          <w:color w:val="000000"/>
          <w:kern w:val="0"/>
          <w14:ligatures w14:val="none"/>
        </w:rPr>
        <w:t>: la monada como voluntad pura es 0D. No se mide por extensión; su carácter es intensidad interna, auto-aprehensión y unidad. En este estadio, la voluntad está autocontenida: no se dirige a objetos por inclinación, sino que es centro de aprehensión.</w:t>
      </w:r>
    </w:p>
    <w:p w14:paraId="1205796D" w14:textId="77777777" w:rsidR="00D32BBD" w:rsidRPr="00D32BBD" w:rsidRDefault="00D32BBD" w:rsidP="00D32BB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b/>
          <w:bCs/>
          <w:color w:val="000000"/>
          <w:kern w:val="0"/>
          <w14:ligatures w14:val="none"/>
        </w:rPr>
        <w:t>Línea 1D → Proyección volitiva (pensamiento / pulsión)</w:t>
      </w:r>
      <w:r w:rsidRPr="00D32BBD">
        <w:rPr>
          <w:rFonts w:ascii="Times New Roman" w:eastAsia="Times New Roman" w:hAnsi="Times New Roman" w:cs="Times New Roman"/>
          <w:color w:val="000000"/>
          <w:kern w:val="0"/>
          <w14:ligatures w14:val="none"/>
        </w:rPr>
        <w:t>: cuando la monada proyecta hacia el objeto, aparece la línea: una dirección, un impulso, un pensamiento que parte del núcleo pero no lo deshace.</w:t>
      </w:r>
    </w:p>
    <w:p w14:paraId="77100ABC" w14:textId="77777777" w:rsidR="00D32BBD" w:rsidRPr="00D32BBD" w:rsidRDefault="00D32BBD" w:rsidP="00D32BB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b/>
          <w:bCs/>
          <w:color w:val="000000"/>
          <w:kern w:val="0"/>
          <w14:ligatures w14:val="none"/>
        </w:rPr>
        <w:t>Plano 2D y Volumen 3D → Estructuras relacionales complejas</w:t>
      </w:r>
      <w:r w:rsidRPr="00D32BBD">
        <w:rPr>
          <w:rFonts w:ascii="Times New Roman" w:eastAsia="Times New Roman" w:hAnsi="Times New Roman" w:cs="Times New Roman"/>
          <w:color w:val="000000"/>
          <w:kern w:val="0"/>
          <w14:ligatures w14:val="none"/>
        </w:rPr>
        <w:t>: la interacción de múltiples líneas (pensamientos/pulsiones) genera planos y volúmenes metafóricos: tejidos complejos de experiencia donde varias monadas se relacionan, o bien donde una monada articula múltiples pulsiones en un entramado coherente.</w:t>
      </w:r>
    </w:p>
    <w:p w14:paraId="3D78BAB8"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Esta correspondencia permite comprender la </w:t>
      </w:r>
      <w:r w:rsidRPr="00D32BBD">
        <w:rPr>
          <w:rFonts w:ascii="Times New Roman" w:eastAsia="Times New Roman" w:hAnsi="Times New Roman" w:cs="Times New Roman"/>
          <w:b/>
          <w:bCs/>
          <w:color w:val="000000"/>
          <w:kern w:val="0"/>
          <w14:ligatures w14:val="none"/>
        </w:rPr>
        <w:t>expansión de la voluntad</w:t>
      </w:r>
      <w:r w:rsidRPr="00D32BBD">
        <w:rPr>
          <w:rFonts w:ascii="Times New Roman" w:eastAsia="Times New Roman" w:hAnsi="Times New Roman" w:cs="Times New Roman"/>
          <w:color w:val="000000"/>
          <w:kern w:val="0"/>
          <w14:ligatures w14:val="none"/>
        </w:rPr>
        <w:t> como una transición formal desde 0D (núcleo puro) hasta dimensiones superiores (manifestaciones relacionales), sin que el núcleo deje de ser aquello que lo sustenta. La monada, aunque 0D en su esencia, puede producir dimensiones en su manifestación sin perder su indivisibilidad.</w:t>
      </w:r>
    </w:p>
    <w:p w14:paraId="5B9FF863" w14:textId="77777777" w:rsidR="00D32BBD" w:rsidRPr="00D32BBD" w:rsidRDefault="001E07DE" w:rsidP="00D32BBD">
      <w:pPr>
        <w:spacing w:after="0" w:line="240" w:lineRule="auto"/>
        <w:rPr>
          <w:rFonts w:ascii="Times New Roman" w:eastAsia="Times New Roman" w:hAnsi="Times New Roman" w:cs="Times New Roman"/>
          <w:kern w:val="0"/>
          <w14:ligatures w14:val="none"/>
        </w:rPr>
      </w:pPr>
      <w:r w:rsidRPr="001E07DE">
        <w:rPr>
          <w:rFonts w:ascii="Times New Roman" w:eastAsia="Times New Roman" w:hAnsi="Times New Roman" w:cs="Times New Roman"/>
          <w:noProof/>
          <w:kern w:val="0"/>
        </w:rPr>
        <w:pict w14:anchorId="3F2C520C">
          <v:rect id="_x0000_i1029" alt="" style="width:468pt;height:.05pt;mso-width-percent:0;mso-height-percent:0;mso-width-percent:0;mso-height-percent:0" o:hralign="center" o:hrstd="t" o:hr="t" fillcolor="#a0a0a0" stroked="f"/>
        </w:pict>
      </w:r>
    </w:p>
    <w:p w14:paraId="2308DC1D"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VIII. Tradiciones que confirman y matizan la analogía</w:t>
      </w:r>
    </w:p>
    <w:p w14:paraId="25F0F876"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La tesis de que existe un núcleo interior adimensional que se revela sólo mediante una disposición no deseante aparece en numerosas tradiciones; las recojo y las explico para facilitar comprensión comparada.</w:t>
      </w:r>
    </w:p>
    <w:p w14:paraId="28789BFD"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1. Tradición védica (Hinduismo): Atman</w:t>
      </w:r>
    </w:p>
    <w:p w14:paraId="3604F993"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En la tradición védica, el </w:t>
      </w:r>
      <w:r w:rsidRPr="00D32BBD">
        <w:rPr>
          <w:rFonts w:ascii="Times New Roman" w:eastAsia="Times New Roman" w:hAnsi="Times New Roman" w:cs="Times New Roman"/>
          <w:b/>
          <w:bCs/>
          <w:color w:val="000000"/>
          <w:kern w:val="0"/>
          <w14:ligatures w14:val="none"/>
        </w:rPr>
        <w:t>Atman</w:t>
      </w:r>
      <w:r w:rsidRPr="00D32BBD">
        <w:rPr>
          <w:rFonts w:ascii="Times New Roman" w:eastAsia="Times New Roman" w:hAnsi="Times New Roman" w:cs="Times New Roman"/>
          <w:color w:val="000000"/>
          <w:kern w:val="0"/>
          <w14:ligatures w14:val="none"/>
        </w:rPr>
        <w:t> es el sí mismo último, idéntico (en varias escuelas) con Brahman o al menos reflejo de lo absoluto. El Atman no es un objeto en el mundo de las formas: es la conciencia subyacente, no condicionada por espacio ni tiempo. La práctica ascética y la ética (yoga, renuncia) apuntan a que la realización del Atman exige cierta renuncia a deseos sensibles, análoga a la auto-contención de la monada.</w:t>
      </w:r>
    </w:p>
    <w:p w14:paraId="77E74CDF"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2. Budismo: vacuidad (Śūnyatā) y desapego</w:t>
      </w:r>
    </w:p>
    <w:p w14:paraId="7F7D0A5C"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Aunque el budismo no postula un “núcleo” subyacente idéntico a Atman (en muchas escuelas anatman = no-yo), sí describe una experiencia de liberación cuando la mente se libera de las fijaciones: la </w:t>
      </w:r>
      <w:r w:rsidRPr="00D32BBD">
        <w:rPr>
          <w:rFonts w:ascii="Times New Roman" w:eastAsia="Times New Roman" w:hAnsi="Times New Roman" w:cs="Times New Roman"/>
          <w:b/>
          <w:bCs/>
          <w:color w:val="000000"/>
          <w:kern w:val="0"/>
          <w14:ligatures w14:val="none"/>
        </w:rPr>
        <w:t>vacüidad</w:t>
      </w:r>
      <w:r w:rsidRPr="00D32BBD">
        <w:rPr>
          <w:rFonts w:ascii="Times New Roman" w:eastAsia="Times New Roman" w:hAnsi="Times New Roman" w:cs="Times New Roman"/>
          <w:color w:val="000000"/>
          <w:kern w:val="0"/>
          <w14:ligatures w14:val="none"/>
        </w:rPr>
        <w:t> y el desapego permiten una percepción clara no condicionada por la impulsión apetitiva. La paradoja budista resuena con la tesis: el apego al despertar impide el despertar; la motivación correcta es la práctica ética y la renuncia a la búsqueda egoísta.</w:t>
      </w:r>
    </w:p>
    <w:p w14:paraId="7B03554B"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3. Cristianismo místico: contemplación y desasimiento</w:t>
      </w:r>
    </w:p>
    <w:p w14:paraId="49EC1169"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lastRenderedPageBreak/>
        <w:t>En la mística cristiana, la </w:t>
      </w:r>
      <w:r w:rsidRPr="00D32BBD">
        <w:rPr>
          <w:rFonts w:ascii="Times New Roman" w:eastAsia="Times New Roman" w:hAnsi="Times New Roman" w:cs="Times New Roman"/>
          <w:b/>
          <w:bCs/>
          <w:color w:val="000000"/>
          <w:kern w:val="0"/>
          <w14:ligatures w14:val="none"/>
        </w:rPr>
        <w:t>oración contemplativa</w:t>
      </w:r>
      <w:r w:rsidRPr="00D32BBD">
        <w:rPr>
          <w:rFonts w:ascii="Times New Roman" w:eastAsia="Times New Roman" w:hAnsi="Times New Roman" w:cs="Times New Roman"/>
          <w:color w:val="000000"/>
          <w:kern w:val="0"/>
          <w14:ligatures w14:val="none"/>
        </w:rPr>
        <w:t> y la vía apofática reclaman que la presencia divina no se alcanza por deseo sensorial sino por abandono. Padres y místicos (Gregorio de Nisa, Juan de la Cruz, Teresa de Ávila) señalan que el alma debe purgar sus pasiones para abrirse a la visión. La santidad, como disposición moral, coincide con la voluntad santa que posibilita la intuición intelectual.</w:t>
      </w:r>
    </w:p>
    <w:p w14:paraId="0064CA08"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4. Neoplatonismo: el Uno y la emanación</w:t>
      </w:r>
    </w:p>
    <w:p w14:paraId="35A74310"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El neoplatonismo postula un principio primero, el </w:t>
      </w:r>
      <w:r w:rsidRPr="00D32BBD">
        <w:rPr>
          <w:rFonts w:ascii="Times New Roman" w:eastAsia="Times New Roman" w:hAnsi="Times New Roman" w:cs="Times New Roman"/>
          <w:b/>
          <w:bCs/>
          <w:color w:val="000000"/>
          <w:kern w:val="0"/>
          <w14:ligatures w14:val="none"/>
        </w:rPr>
        <w:t>Uno</w:t>
      </w:r>
      <w:r w:rsidRPr="00D32BBD">
        <w:rPr>
          <w:rFonts w:ascii="Times New Roman" w:eastAsia="Times New Roman" w:hAnsi="Times New Roman" w:cs="Times New Roman"/>
          <w:color w:val="000000"/>
          <w:kern w:val="0"/>
          <w14:ligatures w14:val="none"/>
        </w:rPr>
        <w:t>, que no tiene extensión ni determinación y del cual proceden las eidas y los seres. La vía para retornar al Uno exige desapego y purificación: el ascenso intelectual es adimensional, un contacto con la simplicidad primaria que no está en el tiempo ni en el espacio.</w:t>
      </w:r>
    </w:p>
    <w:p w14:paraId="6CC49274"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5. Tradición medieval europea: Tomás de Aquino y la alma intelectual</w:t>
      </w:r>
    </w:p>
    <w:p w14:paraId="4C336BF8"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Tomás recoge la idea de un alma intelectiva que participa en la forma universal. Aunque comprometido con la distinción entre materia y forma, plantea la facultad intelectiva como capaz de aprehender los universales más allá de lo sensible; la virtud moral prepara la inteligencia para alcanzar los juicios rectos y la verdad, en consonancia con la tesis de la voluntad santa.</w:t>
      </w:r>
    </w:p>
    <w:p w14:paraId="6BC1DE49"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6. Leibniz: monada</w:t>
      </w:r>
    </w:p>
    <w:p w14:paraId="07798485"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Como ya se ha dicho, Leibniz aporta la categoría de monada: “centros” que reflejan el universo desde su interior. Aunque su sistema es peculiar (armonía preestablecida), encaja naturalmente con la idea de núcleos adimensionales que sostienen la vida psíquica interna.</w:t>
      </w:r>
    </w:p>
    <w:p w14:paraId="5BDD884E" w14:textId="77777777" w:rsidR="00D32BBD" w:rsidRPr="00D32BBD" w:rsidRDefault="00D32BBD" w:rsidP="00D32BB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32BBD">
        <w:rPr>
          <w:rFonts w:ascii="Times New Roman" w:eastAsia="Times New Roman" w:hAnsi="Times New Roman" w:cs="Times New Roman"/>
          <w:b/>
          <w:bCs/>
          <w:color w:val="000000"/>
          <w:kern w:val="0"/>
          <w14:ligatures w14:val="none"/>
        </w:rPr>
        <w:t>7. Cosmovisión Mapuche: kütral y centro vivo</w:t>
      </w:r>
    </w:p>
    <w:p w14:paraId="5CC2F5B2"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En la cosmovisión mapuche, la noción de </w:t>
      </w:r>
      <w:r w:rsidRPr="00D32BBD">
        <w:rPr>
          <w:rFonts w:ascii="Times New Roman" w:eastAsia="Times New Roman" w:hAnsi="Times New Roman" w:cs="Times New Roman"/>
          <w:b/>
          <w:bCs/>
          <w:color w:val="000000"/>
          <w:kern w:val="0"/>
          <w14:ligatures w14:val="none"/>
        </w:rPr>
        <w:t>kütral</w:t>
      </w:r>
      <w:r w:rsidRPr="00D32BBD">
        <w:rPr>
          <w:rFonts w:ascii="Times New Roman" w:eastAsia="Times New Roman" w:hAnsi="Times New Roman" w:cs="Times New Roman"/>
          <w:color w:val="000000"/>
          <w:kern w:val="0"/>
          <w14:ligatures w14:val="none"/>
        </w:rPr>
        <w:t> (fuego, energía vital) y su relación con el </w:t>
      </w:r>
      <w:r w:rsidRPr="00D32BBD">
        <w:rPr>
          <w:rFonts w:ascii="Times New Roman" w:eastAsia="Times New Roman" w:hAnsi="Times New Roman" w:cs="Times New Roman"/>
          <w:b/>
          <w:bCs/>
          <w:color w:val="000000"/>
          <w:kern w:val="0"/>
          <w14:ligatures w14:val="none"/>
        </w:rPr>
        <w:t>centro vital</w:t>
      </w:r>
      <w:r w:rsidRPr="00D32BBD">
        <w:rPr>
          <w:rFonts w:ascii="Times New Roman" w:eastAsia="Times New Roman" w:hAnsi="Times New Roman" w:cs="Times New Roman"/>
          <w:color w:val="000000"/>
          <w:kern w:val="0"/>
          <w14:ligatures w14:val="none"/>
        </w:rPr>
        <w:t> del sujeto y la comunidad apuntan a una interioridad que es fuente de vida y sentido. La ética comunitaria y las prácticas rituales muestran que la realización del centro exige equilibrio y desapego de la voracidad individual; de nuevo, la realización profunda no es fruto del apetito egoísta, sino de una disposición relacional y ética.</w:t>
      </w:r>
    </w:p>
    <w:p w14:paraId="3E5893F1" w14:textId="77777777" w:rsidR="00D32BBD" w:rsidRPr="00D32BBD" w:rsidRDefault="001E07DE" w:rsidP="00D32BBD">
      <w:pPr>
        <w:spacing w:after="0" w:line="240" w:lineRule="auto"/>
        <w:rPr>
          <w:rFonts w:ascii="Times New Roman" w:eastAsia="Times New Roman" w:hAnsi="Times New Roman" w:cs="Times New Roman"/>
          <w:kern w:val="0"/>
          <w14:ligatures w14:val="none"/>
        </w:rPr>
      </w:pPr>
      <w:r w:rsidRPr="001E07DE">
        <w:rPr>
          <w:rFonts w:ascii="Times New Roman" w:eastAsia="Times New Roman" w:hAnsi="Times New Roman" w:cs="Times New Roman"/>
          <w:noProof/>
          <w:kern w:val="0"/>
        </w:rPr>
        <w:pict w14:anchorId="19A54FA5">
          <v:rect id="_x0000_i1028" alt="" style="width:468pt;height:.05pt;mso-width-percent:0;mso-height-percent:0;mso-width-percent:0;mso-height-percent:0" o:hralign="center" o:hrstd="t" o:hr="t" fillcolor="#a0a0a0" stroked="f"/>
        </w:pict>
      </w:r>
    </w:p>
    <w:p w14:paraId="67305C11"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IX. Síntesis: convergencia entre geometría, metafísica y ética</w:t>
      </w:r>
    </w:p>
    <w:p w14:paraId="4548D802" w14:textId="77777777" w:rsidR="00D32BBD" w:rsidRPr="00D32BBD" w:rsidRDefault="00D32BBD" w:rsidP="00D32BB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b/>
          <w:bCs/>
          <w:color w:val="000000"/>
          <w:kern w:val="0"/>
          <w14:ligatures w14:val="none"/>
        </w:rPr>
        <w:t>Geometría</w:t>
      </w:r>
      <w:r w:rsidRPr="00D32BBD">
        <w:rPr>
          <w:rFonts w:ascii="Times New Roman" w:eastAsia="Times New Roman" w:hAnsi="Times New Roman" w:cs="Times New Roman"/>
          <w:color w:val="000000"/>
          <w:kern w:val="0"/>
          <w14:ligatures w14:val="none"/>
        </w:rPr>
        <w:t>: El punto 0D es modelo formal de núcleo; líneas, planos y volúmenes son proyecciones de relación y extensión.</w:t>
      </w:r>
    </w:p>
    <w:p w14:paraId="1693AAC8" w14:textId="77777777" w:rsidR="00D32BBD" w:rsidRPr="00D32BBD" w:rsidRDefault="00D32BBD" w:rsidP="00D32BB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b/>
          <w:bCs/>
          <w:color w:val="000000"/>
          <w:kern w:val="0"/>
          <w14:ligatures w14:val="none"/>
        </w:rPr>
        <w:t>Metafísica</w:t>
      </w:r>
      <w:r w:rsidRPr="00D32BBD">
        <w:rPr>
          <w:rFonts w:ascii="Times New Roman" w:eastAsia="Times New Roman" w:hAnsi="Times New Roman" w:cs="Times New Roman"/>
          <w:color w:val="000000"/>
          <w:kern w:val="0"/>
          <w14:ligatures w14:val="none"/>
        </w:rPr>
        <w:t>: La monada o el núcleo volitivo es 0D en esencia; su manifestación en pensamientos y acciones se expresa en dimensiones mayores.</w:t>
      </w:r>
    </w:p>
    <w:p w14:paraId="3A0B7D45" w14:textId="77777777" w:rsidR="00D32BBD" w:rsidRPr="00D32BBD" w:rsidRDefault="00D32BBD" w:rsidP="00D32BB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b/>
          <w:bCs/>
          <w:color w:val="000000"/>
          <w:kern w:val="0"/>
          <w14:ligatures w14:val="none"/>
        </w:rPr>
        <w:t>Ética</w:t>
      </w:r>
      <w:r w:rsidRPr="00D32BBD">
        <w:rPr>
          <w:rFonts w:ascii="Times New Roman" w:eastAsia="Times New Roman" w:hAnsi="Times New Roman" w:cs="Times New Roman"/>
          <w:color w:val="000000"/>
          <w:kern w:val="0"/>
          <w14:ligatures w14:val="none"/>
        </w:rPr>
        <w:t>: La insensibilidad metafísica (auto-contención) es virtud cuando detiene la agencia de inclinaciones; la voluntad santa es condición de intuición intelectual.</w:t>
      </w:r>
    </w:p>
    <w:p w14:paraId="65D185E6" w14:textId="77777777" w:rsidR="00D32BBD" w:rsidRPr="00D32BBD" w:rsidRDefault="00D32BBD" w:rsidP="00D32BB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b/>
          <w:bCs/>
          <w:color w:val="000000"/>
          <w:kern w:val="0"/>
          <w14:ligatures w14:val="none"/>
        </w:rPr>
        <w:lastRenderedPageBreak/>
        <w:t>Fenomenología</w:t>
      </w:r>
      <w:r w:rsidRPr="00D32BBD">
        <w:rPr>
          <w:rFonts w:ascii="Times New Roman" w:eastAsia="Times New Roman" w:hAnsi="Times New Roman" w:cs="Times New Roman"/>
          <w:color w:val="000000"/>
          <w:kern w:val="0"/>
          <w14:ligatures w14:val="none"/>
        </w:rPr>
        <w:t>: La experiencia adimensional es posible sólo cuando la conciencia no busca su propia consumación por deseo; la motivación moral auténtica (no la inclinación) abre la posibilidad de aprehensión pura.</w:t>
      </w:r>
    </w:p>
    <w:p w14:paraId="320AAD7C" w14:textId="77777777" w:rsidR="00D32BBD" w:rsidRPr="00D32BBD" w:rsidRDefault="001E07DE" w:rsidP="00D32BBD">
      <w:pPr>
        <w:spacing w:after="0" w:line="240" w:lineRule="auto"/>
        <w:rPr>
          <w:rFonts w:ascii="Times New Roman" w:eastAsia="Times New Roman" w:hAnsi="Times New Roman" w:cs="Times New Roman"/>
          <w:kern w:val="0"/>
          <w14:ligatures w14:val="none"/>
        </w:rPr>
      </w:pPr>
      <w:r w:rsidRPr="001E07DE">
        <w:rPr>
          <w:rFonts w:ascii="Times New Roman" w:eastAsia="Times New Roman" w:hAnsi="Times New Roman" w:cs="Times New Roman"/>
          <w:noProof/>
          <w:kern w:val="0"/>
        </w:rPr>
        <w:pict w14:anchorId="5796F471">
          <v:rect id="_x0000_i1027" alt="" style="width:468pt;height:.05pt;mso-width-percent:0;mso-height-percent:0;mso-width-percent:0;mso-height-percent:0" o:hralign="center" o:hrstd="t" o:hr="t" fillcolor="#a0a0a0" stroked="f"/>
        </w:pict>
      </w:r>
    </w:p>
    <w:p w14:paraId="5EAE3B39"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X. Crítica de la pretensión del deseo y la paradoja del anhelo</w:t>
      </w:r>
    </w:p>
    <w:p w14:paraId="5D22D6FE"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Una reflexión final: el sujeto que desea ardientemente la experiencia adimensional queda atrapado en un bucle paradojal. Su deseo es una línea que proyecta la conciencia fuera del punto; en tanto que línea, hace imposible la 0D. La retirada ética, en cambio, no es la búsqueda de la experiencia sino la renuncia a la intención de obtenerla. Desde ahí, la experiencia puede llegar, como fruto de la voluntad que ha renunciado a su propia gratificación. Es una paradoja análoga a la encontrada en la meditación profunda o en la mística: el “querer” el no-querer es auto-contradictorio. La motivación moral correcta, en Kant, no es “querer ser santo” por la gloria o la delectación, sino “obrar por deber”. Esa forma de motivación, desapegada del interés por el fruto, es la que permite que el punto (la monada) se perciba en su adimensionalidad.</w:t>
      </w:r>
    </w:p>
    <w:p w14:paraId="1C9EAD96" w14:textId="77777777" w:rsidR="00D32BBD" w:rsidRPr="00D32BBD" w:rsidRDefault="001E07DE" w:rsidP="00D32BBD">
      <w:pPr>
        <w:spacing w:after="0" w:line="240" w:lineRule="auto"/>
        <w:rPr>
          <w:rFonts w:ascii="Times New Roman" w:eastAsia="Times New Roman" w:hAnsi="Times New Roman" w:cs="Times New Roman"/>
          <w:kern w:val="0"/>
          <w14:ligatures w14:val="none"/>
        </w:rPr>
      </w:pPr>
      <w:r w:rsidRPr="001E07DE">
        <w:rPr>
          <w:rFonts w:ascii="Times New Roman" w:eastAsia="Times New Roman" w:hAnsi="Times New Roman" w:cs="Times New Roman"/>
          <w:noProof/>
          <w:kern w:val="0"/>
        </w:rPr>
        <w:pict w14:anchorId="35E13D02">
          <v:rect id="_x0000_i1026" alt="" style="width:468pt;height:.05pt;mso-width-percent:0;mso-height-percent:0;mso-width-percent:0;mso-height-percent:0" o:hralign="center" o:hrstd="t" o:hr="t" fillcolor="#a0a0a0" stroked="f"/>
        </w:pict>
      </w:r>
    </w:p>
    <w:p w14:paraId="0E7608C5"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Conclusión: la pureza del punto como paradigma</w:t>
      </w:r>
    </w:p>
    <w:p w14:paraId="613B26A9"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La </w:t>
      </w:r>
      <w:r w:rsidRPr="00D32BBD">
        <w:rPr>
          <w:rFonts w:ascii="Times New Roman" w:eastAsia="Times New Roman" w:hAnsi="Times New Roman" w:cs="Times New Roman"/>
          <w:b/>
          <w:bCs/>
          <w:color w:val="000000"/>
          <w:kern w:val="0"/>
          <w14:ligatures w14:val="none"/>
        </w:rPr>
        <w:t>pureza del punto</w:t>
      </w:r>
      <w:r w:rsidRPr="00D32BBD">
        <w:rPr>
          <w:rFonts w:ascii="Times New Roman" w:eastAsia="Times New Roman" w:hAnsi="Times New Roman" w:cs="Times New Roman"/>
          <w:color w:val="000000"/>
          <w:kern w:val="0"/>
          <w14:ligatures w14:val="none"/>
        </w:rPr>
        <w:t> no es simplemente una abstracción matemática: es paradigma filosófico y ético. El punto como límite ontológico ilumina cómo la conciencia puede permanecer indivisible, cómo la voluntad puede cumplir su función sin someterse a inclinaciones, y cómo se abre una posibilidad de aprehensión adimensional que trasciende espacio y tiempo. Las líneas (pensamientos/pulsiones) y las dimensiones mayores (relaciones complejas) expresan la manifestación de la monada sin anularla. Pero hay una condición indispensable: </w:t>
      </w:r>
      <w:r w:rsidRPr="00D32BBD">
        <w:rPr>
          <w:rFonts w:ascii="Times New Roman" w:eastAsia="Times New Roman" w:hAnsi="Times New Roman" w:cs="Times New Roman"/>
          <w:b/>
          <w:bCs/>
          <w:color w:val="000000"/>
          <w:kern w:val="0"/>
          <w14:ligatures w14:val="none"/>
        </w:rPr>
        <w:t>la renuncia a la búsqueda basada en deseo</w:t>
      </w:r>
      <w:r w:rsidRPr="00D32BBD">
        <w:rPr>
          <w:rFonts w:ascii="Times New Roman" w:eastAsia="Times New Roman" w:hAnsi="Times New Roman" w:cs="Times New Roman"/>
          <w:color w:val="000000"/>
          <w:kern w:val="0"/>
          <w14:ligatures w14:val="none"/>
        </w:rPr>
        <w:t>. Solo la auténtica motivación moral —la voluntad santa en sentido kantiano— permite que la conciencia se perciba a sí misma sin contaminación, y por ende que alcance la intuición intelectual genuina.</w:t>
      </w:r>
    </w:p>
    <w:p w14:paraId="35470AF8" w14:textId="77777777" w:rsidR="00D32BBD" w:rsidRPr="00D32BBD" w:rsidRDefault="001E07DE" w:rsidP="00D32BBD">
      <w:pPr>
        <w:spacing w:after="0" w:line="240" w:lineRule="auto"/>
        <w:rPr>
          <w:rFonts w:ascii="Times New Roman" w:eastAsia="Times New Roman" w:hAnsi="Times New Roman" w:cs="Times New Roman"/>
          <w:kern w:val="0"/>
          <w14:ligatures w14:val="none"/>
        </w:rPr>
      </w:pPr>
      <w:r w:rsidRPr="001E07DE">
        <w:rPr>
          <w:rFonts w:ascii="Times New Roman" w:eastAsia="Times New Roman" w:hAnsi="Times New Roman" w:cs="Times New Roman"/>
          <w:noProof/>
          <w:kern w:val="0"/>
        </w:rPr>
        <w:pict w14:anchorId="046C0368">
          <v:rect id="_x0000_i1025" alt="" style="width:468pt;height:.05pt;mso-width-percent:0;mso-height-percent:0;mso-width-percent:0;mso-height-percent:0" o:hralign="center" o:hrstd="t" o:hr="t" fillcolor="#a0a0a0" stroked="f"/>
        </w:pict>
      </w:r>
    </w:p>
    <w:p w14:paraId="017CA350" w14:textId="77777777" w:rsidR="00D32BBD" w:rsidRPr="00D32BBD" w:rsidRDefault="00D32BBD" w:rsidP="00D32B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2BBD">
        <w:rPr>
          <w:rFonts w:ascii="Times New Roman" w:eastAsia="Times New Roman" w:hAnsi="Times New Roman" w:cs="Times New Roman"/>
          <w:b/>
          <w:bCs/>
          <w:color w:val="000000"/>
          <w:kern w:val="0"/>
          <w:sz w:val="27"/>
          <w:szCs w:val="27"/>
          <w14:ligatures w14:val="none"/>
        </w:rPr>
        <w:t>Apéndice final: mapa conceptual y sugerencia visual</w:t>
      </w:r>
    </w:p>
    <w:p w14:paraId="2591F806"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Como complemento integrador (y siguiendo tu petición previa del diagrama), la representación gráfica ideal reúne:</w:t>
      </w:r>
    </w:p>
    <w:p w14:paraId="6BE4CE5A" w14:textId="77777777" w:rsidR="00D32BBD" w:rsidRPr="00D32BBD" w:rsidRDefault="00D32BBD" w:rsidP="00D32BB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Un </w:t>
      </w:r>
      <w:r w:rsidRPr="00D32BBD">
        <w:rPr>
          <w:rFonts w:ascii="Times New Roman" w:eastAsia="Times New Roman" w:hAnsi="Times New Roman" w:cs="Times New Roman"/>
          <w:b/>
          <w:bCs/>
          <w:color w:val="000000"/>
          <w:kern w:val="0"/>
          <w14:ligatures w14:val="none"/>
        </w:rPr>
        <w:t>punto central</w:t>
      </w:r>
      <w:r w:rsidRPr="00D32BBD">
        <w:rPr>
          <w:rFonts w:ascii="Times New Roman" w:eastAsia="Times New Roman" w:hAnsi="Times New Roman" w:cs="Times New Roman"/>
          <w:color w:val="000000"/>
          <w:kern w:val="0"/>
          <w14:ligatures w14:val="none"/>
        </w:rPr>
        <w:t> etiquetado: “Punto / Monada / Voluntad 0D (núcleo)”.</w:t>
      </w:r>
    </w:p>
    <w:p w14:paraId="43CD45AC" w14:textId="77777777" w:rsidR="00D32BBD" w:rsidRPr="00D32BBD" w:rsidRDefault="00D32BBD" w:rsidP="00D32BB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Un halo que envuelve el punto: “Apercepción Adimensional (fuera de espacio y tiempo)”.</w:t>
      </w:r>
    </w:p>
    <w:p w14:paraId="34F6BA04" w14:textId="77777777" w:rsidR="00D32BBD" w:rsidRPr="00D32BBD" w:rsidRDefault="00D32BBD" w:rsidP="00D32BB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Líneas emergentes del punto: “Pensamientos / Pulsiones (1D)”.</w:t>
      </w:r>
    </w:p>
    <w:p w14:paraId="784AFFD2" w14:textId="77777777" w:rsidR="00D32BBD" w:rsidRPr="00D32BBD" w:rsidRDefault="00D32BBD" w:rsidP="00D32BB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Superficies y sólidos formados por las líneas: “Planos (2D) / Volúmenes (3D): estructuras relacionales y experiencias complejas”.</w:t>
      </w:r>
    </w:p>
    <w:p w14:paraId="7045095B" w14:textId="77777777" w:rsidR="00D32BBD" w:rsidRPr="00D32BBD" w:rsidRDefault="00D32BBD" w:rsidP="00D32BB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lastRenderedPageBreak/>
        <w:t>Una nota ética: “La aspiración por la experiencia adimensional impide su llegada; la motivación moral auténtica la posibilita.”</w:t>
      </w:r>
    </w:p>
    <w:p w14:paraId="2384E1D2" w14:textId="77777777" w:rsidR="00D32BBD" w:rsidRPr="00D32BBD" w:rsidRDefault="00D32BBD" w:rsidP="00D32BB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Referencias breves: Atman (Védica), Śūnyatā (Budista), Uno (Neoplatónico), Oración contemplativa (Cristianismo místico), Monada (Leibniz), Kütral (Mapuche), Voluntad moral (Kant / Tomás de Aquino).</w:t>
      </w:r>
    </w:p>
    <w:p w14:paraId="3BD7EF36" w14:textId="77777777" w:rsidR="00D32BBD" w:rsidRPr="00D32BBD" w:rsidRDefault="00D32BBD" w:rsidP="00D32BBD">
      <w:pPr>
        <w:spacing w:before="100" w:beforeAutospacing="1" w:after="100" w:afterAutospacing="1" w:line="240" w:lineRule="auto"/>
        <w:rPr>
          <w:rFonts w:ascii="Times New Roman" w:eastAsia="Times New Roman" w:hAnsi="Times New Roman" w:cs="Times New Roman"/>
          <w:color w:val="000000"/>
          <w:kern w:val="0"/>
          <w14:ligatures w14:val="none"/>
        </w:rPr>
      </w:pPr>
      <w:r w:rsidRPr="00D32BBD">
        <w:rPr>
          <w:rFonts w:ascii="Times New Roman" w:eastAsia="Times New Roman" w:hAnsi="Times New Roman" w:cs="Times New Roman"/>
          <w:color w:val="000000"/>
          <w:kern w:val="0"/>
          <w14:ligatures w14:val="none"/>
        </w:rPr>
        <w:t>(Esta es la guía visual para el diagrama que ya se generó; si quieres, puedo regenerarlo con ajustes formales concretos).</w:t>
      </w:r>
    </w:p>
    <w:p w14:paraId="5996417E" w14:textId="18B75279" w:rsidR="00354789" w:rsidRDefault="00354789"/>
    <w:sectPr w:rsidR="00354789" w:rsidSect="00C44D9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AA5"/>
    <w:multiLevelType w:val="multilevel"/>
    <w:tmpl w:val="BAAA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50CC"/>
    <w:multiLevelType w:val="multilevel"/>
    <w:tmpl w:val="DCDA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01459"/>
    <w:multiLevelType w:val="multilevel"/>
    <w:tmpl w:val="97B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F1BBE"/>
    <w:multiLevelType w:val="multilevel"/>
    <w:tmpl w:val="F292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33F82"/>
    <w:multiLevelType w:val="multilevel"/>
    <w:tmpl w:val="2D2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774B5"/>
    <w:multiLevelType w:val="multilevel"/>
    <w:tmpl w:val="074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034468">
    <w:abstractNumId w:val="2"/>
  </w:num>
  <w:num w:numId="2" w16cid:durableId="109134533">
    <w:abstractNumId w:val="3"/>
  </w:num>
  <w:num w:numId="3" w16cid:durableId="1336417779">
    <w:abstractNumId w:val="5"/>
  </w:num>
  <w:num w:numId="4" w16cid:durableId="176308624">
    <w:abstractNumId w:val="4"/>
  </w:num>
  <w:num w:numId="5" w16cid:durableId="549000586">
    <w:abstractNumId w:val="1"/>
  </w:num>
  <w:num w:numId="6" w16cid:durableId="886183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BBD"/>
    <w:rsid w:val="001E07DE"/>
    <w:rsid w:val="00354789"/>
    <w:rsid w:val="00465DC1"/>
    <w:rsid w:val="00557598"/>
    <w:rsid w:val="0086667F"/>
    <w:rsid w:val="00A813F7"/>
    <w:rsid w:val="00A855DD"/>
    <w:rsid w:val="00C1618E"/>
    <w:rsid w:val="00C44D93"/>
    <w:rsid w:val="00D32BBD"/>
    <w:rsid w:val="00F35BA8"/>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03838"/>
  <w15:chartTrackingRefBased/>
  <w15:docId w15:val="{32017AE4-6BA8-BE46-AA50-2662C173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2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2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2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2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BBD"/>
    <w:rPr>
      <w:rFonts w:eastAsiaTheme="majorEastAsia" w:cstheme="majorBidi"/>
      <w:color w:val="272727" w:themeColor="text1" w:themeTint="D8"/>
    </w:rPr>
  </w:style>
  <w:style w:type="paragraph" w:styleId="Title">
    <w:name w:val="Title"/>
    <w:basedOn w:val="Normal"/>
    <w:next w:val="Normal"/>
    <w:link w:val="TitleChar"/>
    <w:uiPriority w:val="10"/>
    <w:qFormat/>
    <w:rsid w:val="00D32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BBD"/>
    <w:pPr>
      <w:spacing w:before="160"/>
      <w:jc w:val="center"/>
    </w:pPr>
    <w:rPr>
      <w:i/>
      <w:iCs/>
      <w:color w:val="404040" w:themeColor="text1" w:themeTint="BF"/>
    </w:rPr>
  </w:style>
  <w:style w:type="character" w:customStyle="1" w:styleId="QuoteChar">
    <w:name w:val="Quote Char"/>
    <w:basedOn w:val="DefaultParagraphFont"/>
    <w:link w:val="Quote"/>
    <w:uiPriority w:val="29"/>
    <w:rsid w:val="00D32BBD"/>
    <w:rPr>
      <w:i/>
      <w:iCs/>
      <w:color w:val="404040" w:themeColor="text1" w:themeTint="BF"/>
    </w:rPr>
  </w:style>
  <w:style w:type="paragraph" w:styleId="ListParagraph">
    <w:name w:val="List Paragraph"/>
    <w:basedOn w:val="Normal"/>
    <w:uiPriority w:val="34"/>
    <w:qFormat/>
    <w:rsid w:val="00D32BBD"/>
    <w:pPr>
      <w:ind w:left="720"/>
      <w:contextualSpacing/>
    </w:pPr>
  </w:style>
  <w:style w:type="character" w:styleId="IntenseEmphasis">
    <w:name w:val="Intense Emphasis"/>
    <w:basedOn w:val="DefaultParagraphFont"/>
    <w:uiPriority w:val="21"/>
    <w:qFormat/>
    <w:rsid w:val="00D32BBD"/>
    <w:rPr>
      <w:i/>
      <w:iCs/>
      <w:color w:val="0F4761" w:themeColor="accent1" w:themeShade="BF"/>
    </w:rPr>
  </w:style>
  <w:style w:type="paragraph" w:styleId="IntenseQuote">
    <w:name w:val="Intense Quote"/>
    <w:basedOn w:val="Normal"/>
    <w:next w:val="Normal"/>
    <w:link w:val="IntenseQuoteChar"/>
    <w:uiPriority w:val="30"/>
    <w:qFormat/>
    <w:rsid w:val="00D32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BBD"/>
    <w:rPr>
      <w:i/>
      <w:iCs/>
      <w:color w:val="0F4761" w:themeColor="accent1" w:themeShade="BF"/>
    </w:rPr>
  </w:style>
  <w:style w:type="character" w:styleId="IntenseReference">
    <w:name w:val="Intense Reference"/>
    <w:basedOn w:val="DefaultParagraphFont"/>
    <w:uiPriority w:val="32"/>
    <w:qFormat/>
    <w:rsid w:val="00D32BBD"/>
    <w:rPr>
      <w:b/>
      <w:bCs/>
      <w:smallCaps/>
      <w:color w:val="0F4761" w:themeColor="accent1" w:themeShade="BF"/>
      <w:spacing w:val="5"/>
    </w:rPr>
  </w:style>
  <w:style w:type="paragraph" w:styleId="NormalWeb">
    <w:name w:val="Normal (Web)"/>
    <w:basedOn w:val="Normal"/>
    <w:uiPriority w:val="99"/>
    <w:semiHidden/>
    <w:unhideWhenUsed/>
    <w:rsid w:val="00D32BB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32BBD"/>
  </w:style>
  <w:style w:type="character" w:styleId="Strong">
    <w:name w:val="Strong"/>
    <w:basedOn w:val="DefaultParagraphFont"/>
    <w:uiPriority w:val="22"/>
    <w:qFormat/>
    <w:rsid w:val="00D32B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2501</Words>
  <Characters>14258</Characters>
  <Application>Microsoft Office Word</Application>
  <DocSecurity>0</DocSecurity>
  <Lines>118</Lines>
  <Paragraphs>33</Paragraphs>
  <ScaleCrop>false</ScaleCrop>
  <Company/>
  <LinksUpToDate>false</LinksUpToDate>
  <CharactersWithSpaces>16726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Ignacio Lavados Sepúlveda</dc:creator>
  <cp:keywords/>
  <dc:description/>
  <cp:lastModifiedBy>Tomás Ignacio Lavados Sepúlveda</cp:lastModifiedBy>
  <cp:revision>1</cp:revision>
  <dcterms:created xsi:type="dcterms:W3CDTF">2025-12-08T19:55:00Z</dcterms:created>
  <dcterms:modified xsi:type="dcterms:W3CDTF">2025-12-08T19:55:00Z</dcterms:modified>
</cp:coreProperties>
</file>