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7A239" w14:textId="77777777" w:rsidR="003E0B22" w:rsidRPr="003E0B22" w:rsidRDefault="003E0B22" w:rsidP="003E0B2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E0B22">
        <w:rPr>
          <w:rFonts w:ascii="Times New Roman" w:eastAsia="Times New Roman" w:hAnsi="Times New Roman" w:cs="Times New Roman"/>
          <w:b/>
          <w:bCs/>
          <w:color w:val="000000"/>
          <w:kern w:val="36"/>
          <w:sz w:val="48"/>
          <w:szCs w:val="48"/>
          <w14:ligatures w14:val="none"/>
        </w:rPr>
        <w:t>Reseña historiográfica sobre las tradiciones religiosas y filosóficas que prohíben matar incluso insectos</w:t>
      </w:r>
    </w:p>
    <w:p w14:paraId="2EC75374"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La prohibición de matar insectos, aunque pueda parecer marginal dentro de la historia intelectual de las religiones, constituye un punto de observación privilegiado para comprender cómo diversas culturas han concebido la vida, la sacralidad del mundo natural, la compasión universal y la estructura moral del cosmos. A través de la historiografía comparada, se observa que esa prohibición no surge únicamente del ascetismo extremo, sino de visiones metafísicas profundas sobre la unidad de lo viviente, la retribución moral o la pureza espiritual.</w:t>
      </w:r>
    </w:p>
    <w:p w14:paraId="2FD94E73"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La siguiente reseña se organiza en grandes tradiciones, atendiendo no solo a doctrinas, sino también a </w:t>
      </w:r>
      <w:r w:rsidRPr="003E0B22">
        <w:rPr>
          <w:rFonts w:ascii="Times New Roman" w:eastAsia="Times New Roman" w:hAnsi="Times New Roman" w:cs="Times New Roman"/>
          <w:i/>
          <w:iCs/>
          <w:color w:val="000000"/>
          <w:kern w:val="0"/>
          <w14:ligatures w14:val="none"/>
        </w:rPr>
        <w:t>contextos históricos</w:t>
      </w:r>
      <w:r w:rsidRPr="003E0B22">
        <w:rPr>
          <w:rFonts w:ascii="Times New Roman" w:eastAsia="Times New Roman" w:hAnsi="Times New Roman" w:cs="Times New Roman"/>
          <w:color w:val="000000"/>
          <w:kern w:val="0"/>
          <w14:ligatures w14:val="none"/>
        </w:rPr>
        <w:t>, </w:t>
      </w:r>
      <w:r w:rsidRPr="003E0B22">
        <w:rPr>
          <w:rFonts w:ascii="Times New Roman" w:eastAsia="Times New Roman" w:hAnsi="Times New Roman" w:cs="Times New Roman"/>
          <w:i/>
          <w:iCs/>
          <w:color w:val="000000"/>
          <w:kern w:val="0"/>
          <w14:ligatures w14:val="none"/>
        </w:rPr>
        <w:t>debates internos</w:t>
      </w:r>
      <w:r w:rsidRPr="003E0B22">
        <w:rPr>
          <w:rFonts w:ascii="Times New Roman" w:eastAsia="Times New Roman" w:hAnsi="Times New Roman" w:cs="Times New Roman"/>
          <w:color w:val="000000"/>
          <w:kern w:val="0"/>
          <w14:ligatures w14:val="none"/>
        </w:rPr>
        <w:t>, y </w:t>
      </w:r>
      <w:r w:rsidRPr="003E0B22">
        <w:rPr>
          <w:rFonts w:ascii="Times New Roman" w:eastAsia="Times New Roman" w:hAnsi="Times New Roman" w:cs="Times New Roman"/>
          <w:i/>
          <w:iCs/>
          <w:color w:val="000000"/>
          <w:kern w:val="0"/>
          <w14:ligatures w14:val="none"/>
        </w:rPr>
        <w:t>evolución hermenéutica</w:t>
      </w:r>
      <w:r w:rsidRPr="003E0B22">
        <w:rPr>
          <w:rFonts w:ascii="Times New Roman" w:eastAsia="Times New Roman" w:hAnsi="Times New Roman" w:cs="Times New Roman"/>
          <w:color w:val="000000"/>
          <w:kern w:val="0"/>
          <w14:ligatures w14:val="none"/>
        </w:rPr>
        <w:t>.</w:t>
      </w:r>
    </w:p>
    <w:p w14:paraId="3EA36C4B" w14:textId="77777777" w:rsidR="003E0B22" w:rsidRPr="003E0B22" w:rsidRDefault="00FF1215" w:rsidP="003E0B22">
      <w:pPr>
        <w:spacing w:after="0" w:line="240" w:lineRule="auto"/>
        <w:rPr>
          <w:rFonts w:ascii="Times New Roman" w:eastAsia="Times New Roman" w:hAnsi="Times New Roman" w:cs="Times New Roman"/>
          <w:kern w:val="0"/>
          <w14:ligatures w14:val="none"/>
        </w:rPr>
      </w:pPr>
      <w:r w:rsidRPr="00FF1215">
        <w:rPr>
          <w:rFonts w:ascii="Times New Roman" w:eastAsia="Times New Roman" w:hAnsi="Times New Roman" w:cs="Times New Roman"/>
          <w:noProof/>
          <w:kern w:val="0"/>
        </w:rPr>
        <w:pict w14:anchorId="02DD7056">
          <v:rect id="_x0000_i1035" alt="" style="width:468pt;height:.05pt;mso-width-percent:0;mso-height-percent:0;mso-width-percent:0;mso-height-percent:0" o:hralign="center" o:hrstd="t" o:hr="t" fillcolor="#a0a0a0" stroked="f"/>
        </w:pict>
      </w:r>
    </w:p>
    <w:p w14:paraId="1E7E3CE9" w14:textId="77777777" w:rsidR="003E0B22" w:rsidRPr="003E0B22" w:rsidRDefault="003E0B22" w:rsidP="003E0B2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E0B22">
        <w:rPr>
          <w:rFonts w:ascii="Times New Roman" w:eastAsia="Times New Roman" w:hAnsi="Times New Roman" w:cs="Times New Roman"/>
          <w:b/>
          <w:bCs/>
          <w:color w:val="000000"/>
          <w:kern w:val="0"/>
          <w:sz w:val="36"/>
          <w:szCs w:val="36"/>
          <w14:ligatures w14:val="none"/>
        </w:rPr>
        <w:t>1. Jainismo: la tradición paradigmática de la no-violencia absoluta</w:t>
      </w:r>
    </w:p>
    <w:p w14:paraId="6BF36AF1" w14:textId="77777777" w:rsidR="003E0B22" w:rsidRPr="003E0B22" w:rsidRDefault="003E0B22" w:rsidP="003E0B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0B22">
        <w:rPr>
          <w:rFonts w:ascii="Times New Roman" w:eastAsia="Times New Roman" w:hAnsi="Times New Roman" w:cs="Times New Roman"/>
          <w:b/>
          <w:bCs/>
          <w:color w:val="000000"/>
          <w:kern w:val="0"/>
          <w:sz w:val="27"/>
          <w:szCs w:val="27"/>
          <w14:ligatures w14:val="none"/>
        </w:rPr>
        <w:t>1.1. Fundamentos doctrinales</w:t>
      </w:r>
    </w:p>
    <w:p w14:paraId="745A9782"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El jainismo, surgido en el norte de la India alrededor del siglo VI a.C., es históricamente la tradición más conocida por prohibir matar </w:t>
      </w:r>
      <w:r w:rsidRPr="003E0B22">
        <w:rPr>
          <w:rFonts w:ascii="Times New Roman" w:eastAsia="Times New Roman" w:hAnsi="Times New Roman" w:cs="Times New Roman"/>
          <w:i/>
          <w:iCs/>
          <w:color w:val="000000"/>
          <w:kern w:val="0"/>
          <w14:ligatures w14:val="none"/>
        </w:rPr>
        <w:t>cualquier</w:t>
      </w:r>
      <w:r w:rsidRPr="003E0B22">
        <w:rPr>
          <w:rFonts w:ascii="Times New Roman" w:eastAsia="Times New Roman" w:hAnsi="Times New Roman" w:cs="Times New Roman"/>
          <w:color w:val="000000"/>
          <w:kern w:val="0"/>
          <w14:ligatures w14:val="none"/>
        </w:rPr>
        <w:t> ser vivo, incluidos los organismos microscópicos (que, aunque desconocidos empíricamente, eran conceptualizados como </w:t>
      </w:r>
      <w:r w:rsidRPr="003E0B22">
        <w:rPr>
          <w:rFonts w:ascii="Times New Roman" w:eastAsia="Times New Roman" w:hAnsi="Times New Roman" w:cs="Times New Roman"/>
          <w:i/>
          <w:iCs/>
          <w:color w:val="000000"/>
          <w:kern w:val="0"/>
          <w14:ligatures w14:val="none"/>
        </w:rPr>
        <w:t>jīvas</w:t>
      </w:r>
      <w:r w:rsidRPr="003E0B22">
        <w:rPr>
          <w:rFonts w:ascii="Times New Roman" w:eastAsia="Times New Roman" w:hAnsi="Times New Roman" w:cs="Times New Roman"/>
          <w:color w:val="000000"/>
          <w:kern w:val="0"/>
          <w14:ligatures w14:val="none"/>
        </w:rPr>
        <w:t> infinitesimales).</w:t>
      </w:r>
    </w:p>
    <w:p w14:paraId="52734F16" w14:textId="77777777" w:rsidR="003E0B22" w:rsidRPr="003E0B22" w:rsidRDefault="003E0B22" w:rsidP="003E0B2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b/>
          <w:bCs/>
          <w:color w:val="000000"/>
          <w:kern w:val="0"/>
          <w14:ligatures w14:val="none"/>
        </w:rPr>
        <w:t>Ahiṃsā (no-violencia)</w:t>
      </w:r>
      <w:r w:rsidRPr="003E0B22">
        <w:rPr>
          <w:rFonts w:ascii="Times New Roman" w:eastAsia="Times New Roman" w:hAnsi="Times New Roman" w:cs="Times New Roman"/>
          <w:color w:val="000000"/>
          <w:kern w:val="0"/>
          <w14:ligatures w14:val="none"/>
        </w:rPr>
        <w:t> es el principio máximo.</w:t>
      </w:r>
    </w:p>
    <w:p w14:paraId="2CADD862" w14:textId="77777777" w:rsidR="003E0B22" w:rsidRPr="003E0B22" w:rsidRDefault="003E0B22" w:rsidP="003E0B2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Todos los seres, incluso insectos, poseen </w:t>
      </w:r>
      <w:r w:rsidRPr="003E0B22">
        <w:rPr>
          <w:rFonts w:ascii="Times New Roman" w:eastAsia="Times New Roman" w:hAnsi="Times New Roman" w:cs="Times New Roman"/>
          <w:b/>
          <w:bCs/>
          <w:color w:val="000000"/>
          <w:kern w:val="0"/>
          <w14:ligatures w14:val="none"/>
        </w:rPr>
        <w:t>jīva</w:t>
      </w:r>
      <w:r w:rsidRPr="003E0B22">
        <w:rPr>
          <w:rFonts w:ascii="Times New Roman" w:eastAsia="Times New Roman" w:hAnsi="Times New Roman" w:cs="Times New Roman"/>
          <w:color w:val="000000"/>
          <w:kern w:val="0"/>
          <w14:ligatures w14:val="none"/>
        </w:rPr>
        <w:t> (alma) con igual dignidad ontológica.</w:t>
      </w:r>
    </w:p>
    <w:p w14:paraId="2452F5D4" w14:textId="77777777" w:rsidR="003E0B22" w:rsidRPr="003E0B22" w:rsidRDefault="003E0B22" w:rsidP="003E0B2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Matar un insecto produce </w:t>
      </w:r>
      <w:r w:rsidRPr="003E0B22">
        <w:rPr>
          <w:rFonts w:ascii="Times New Roman" w:eastAsia="Times New Roman" w:hAnsi="Times New Roman" w:cs="Times New Roman"/>
          <w:b/>
          <w:bCs/>
          <w:color w:val="000000"/>
          <w:kern w:val="0"/>
          <w14:ligatures w14:val="none"/>
        </w:rPr>
        <w:t>karma negativo</w:t>
      </w:r>
      <w:r w:rsidRPr="003E0B22">
        <w:rPr>
          <w:rFonts w:ascii="Times New Roman" w:eastAsia="Times New Roman" w:hAnsi="Times New Roman" w:cs="Times New Roman"/>
          <w:color w:val="000000"/>
          <w:kern w:val="0"/>
          <w14:ligatures w14:val="none"/>
        </w:rPr>
        <w:t> que ensucia el alma y prolonga el ciclo de renacimientos.</w:t>
      </w:r>
    </w:p>
    <w:p w14:paraId="1DAD91C5" w14:textId="77777777" w:rsidR="003E0B22" w:rsidRPr="003E0B22" w:rsidRDefault="003E0B22" w:rsidP="003E0B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0B22">
        <w:rPr>
          <w:rFonts w:ascii="Times New Roman" w:eastAsia="Times New Roman" w:hAnsi="Times New Roman" w:cs="Times New Roman"/>
          <w:b/>
          <w:bCs/>
          <w:color w:val="000000"/>
          <w:kern w:val="0"/>
          <w:sz w:val="27"/>
          <w:szCs w:val="27"/>
          <w14:ligatures w14:val="none"/>
        </w:rPr>
        <w:t>1.2. Materialidad histórica: prácticas ascéticas</w:t>
      </w:r>
    </w:p>
    <w:p w14:paraId="26BDFE8C"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Los textos Śvetāmbara y Digambara, así como las hagiografías de Mahāvīra, describen prácticas como:</w:t>
      </w:r>
    </w:p>
    <w:p w14:paraId="61DAFB60" w14:textId="77777777" w:rsidR="003E0B22" w:rsidRPr="003E0B22" w:rsidRDefault="003E0B22" w:rsidP="003E0B2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b/>
          <w:bCs/>
          <w:color w:val="000000"/>
          <w:kern w:val="0"/>
          <w14:ligatures w14:val="none"/>
        </w:rPr>
        <w:t>Barrido del suelo</w:t>
      </w:r>
      <w:r w:rsidRPr="003E0B22">
        <w:rPr>
          <w:rFonts w:ascii="Times New Roman" w:eastAsia="Times New Roman" w:hAnsi="Times New Roman" w:cs="Times New Roman"/>
          <w:color w:val="000000"/>
          <w:kern w:val="0"/>
          <w14:ligatures w14:val="none"/>
        </w:rPr>
        <w:t> antes de caminar.</w:t>
      </w:r>
    </w:p>
    <w:p w14:paraId="28EA8CC2" w14:textId="77777777" w:rsidR="003E0B22" w:rsidRPr="003E0B22" w:rsidRDefault="003E0B22" w:rsidP="003E0B2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b/>
          <w:bCs/>
          <w:color w:val="000000"/>
          <w:kern w:val="0"/>
          <w14:ligatures w14:val="none"/>
        </w:rPr>
        <w:t>Filtrado del agua</w:t>
      </w:r>
      <w:r w:rsidRPr="003E0B22">
        <w:rPr>
          <w:rFonts w:ascii="Times New Roman" w:eastAsia="Times New Roman" w:hAnsi="Times New Roman" w:cs="Times New Roman"/>
          <w:color w:val="000000"/>
          <w:kern w:val="0"/>
          <w14:ligatures w14:val="none"/>
        </w:rPr>
        <w:t> para no ingerir organismos vivos.</w:t>
      </w:r>
    </w:p>
    <w:p w14:paraId="4926C41F" w14:textId="77777777" w:rsidR="003E0B22" w:rsidRPr="003E0B22" w:rsidRDefault="003E0B22" w:rsidP="003E0B2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Prohibición absoluta de la agricultura (porque destruye microorganismos e insectos).</w:t>
      </w:r>
    </w:p>
    <w:p w14:paraId="6F3EA456" w14:textId="77777777" w:rsidR="003E0B22" w:rsidRPr="003E0B22" w:rsidRDefault="003E0B22" w:rsidP="003E0B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0B22">
        <w:rPr>
          <w:rFonts w:ascii="Times New Roman" w:eastAsia="Times New Roman" w:hAnsi="Times New Roman" w:cs="Times New Roman"/>
          <w:b/>
          <w:bCs/>
          <w:color w:val="000000"/>
          <w:kern w:val="0"/>
          <w:sz w:val="27"/>
          <w:szCs w:val="27"/>
          <w14:ligatures w14:val="none"/>
        </w:rPr>
        <w:t>1.3. Recepción historiográfica</w:t>
      </w:r>
    </w:p>
    <w:p w14:paraId="51337798"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lastRenderedPageBreak/>
        <w:t>A inicios del siglo XX, autores como Heinrich Zimmer interpretaron esta prohibición como una forma extrema de ascetismo. Estudios posteriores —Dundas, Jaini, Bollée— la contextualizaron como un sistema ético radicalmente lógico: si toda vida es igual, no hay criterio para distinguir “animales superiores” de “inferiores”.</w:t>
      </w:r>
    </w:p>
    <w:p w14:paraId="3E7FE1E7" w14:textId="77777777" w:rsidR="003E0B22" w:rsidRPr="003E0B22" w:rsidRDefault="00FF1215" w:rsidP="003E0B22">
      <w:pPr>
        <w:spacing w:after="0" w:line="240" w:lineRule="auto"/>
        <w:rPr>
          <w:rFonts w:ascii="Times New Roman" w:eastAsia="Times New Roman" w:hAnsi="Times New Roman" w:cs="Times New Roman"/>
          <w:kern w:val="0"/>
          <w14:ligatures w14:val="none"/>
        </w:rPr>
      </w:pPr>
      <w:r w:rsidRPr="00FF1215">
        <w:rPr>
          <w:rFonts w:ascii="Times New Roman" w:eastAsia="Times New Roman" w:hAnsi="Times New Roman" w:cs="Times New Roman"/>
          <w:noProof/>
          <w:kern w:val="0"/>
        </w:rPr>
        <w:pict w14:anchorId="45CB6100">
          <v:rect id="_x0000_i1034" alt="" style="width:468pt;height:.05pt;mso-width-percent:0;mso-height-percent:0;mso-width-percent:0;mso-height-percent:0" o:hralign="center" o:hrstd="t" o:hr="t" fillcolor="#a0a0a0" stroked="f"/>
        </w:pict>
      </w:r>
    </w:p>
    <w:p w14:paraId="4B0A3309" w14:textId="77777777" w:rsidR="003E0B22" w:rsidRPr="003E0B22" w:rsidRDefault="003E0B22" w:rsidP="003E0B2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E0B22">
        <w:rPr>
          <w:rFonts w:ascii="Times New Roman" w:eastAsia="Times New Roman" w:hAnsi="Times New Roman" w:cs="Times New Roman"/>
          <w:b/>
          <w:bCs/>
          <w:color w:val="000000"/>
          <w:kern w:val="0"/>
          <w:sz w:val="36"/>
          <w:szCs w:val="36"/>
          <w14:ligatures w14:val="none"/>
        </w:rPr>
        <w:t>2. Budismo primitivo y budismo Mahāyāna: compasión universal, pero con matices históricos</w:t>
      </w:r>
    </w:p>
    <w:p w14:paraId="6154AB1F" w14:textId="77777777" w:rsidR="003E0B22" w:rsidRPr="003E0B22" w:rsidRDefault="003E0B22" w:rsidP="003E0B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0B22">
        <w:rPr>
          <w:rFonts w:ascii="Times New Roman" w:eastAsia="Times New Roman" w:hAnsi="Times New Roman" w:cs="Times New Roman"/>
          <w:b/>
          <w:bCs/>
          <w:color w:val="000000"/>
          <w:kern w:val="0"/>
          <w:sz w:val="27"/>
          <w:szCs w:val="27"/>
          <w14:ligatures w14:val="none"/>
        </w:rPr>
        <w:t>2.1. Budismo temprano (Tipiṭaka)</w:t>
      </w:r>
    </w:p>
    <w:p w14:paraId="0835AFB6"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En el Vinaya temprano, se prohíbe intencionalmente matar seres vivientes, incluidos insectos. Sin embargo, la prohibición no siempre es absoluta:</w:t>
      </w:r>
    </w:p>
    <w:p w14:paraId="0EA29EBB" w14:textId="77777777" w:rsidR="003E0B22" w:rsidRPr="003E0B22" w:rsidRDefault="003E0B22" w:rsidP="003E0B2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La intención (</w:t>
      </w:r>
      <w:r w:rsidRPr="003E0B22">
        <w:rPr>
          <w:rFonts w:ascii="Times New Roman" w:eastAsia="Times New Roman" w:hAnsi="Times New Roman" w:cs="Times New Roman"/>
          <w:i/>
          <w:iCs/>
          <w:color w:val="000000"/>
          <w:kern w:val="0"/>
          <w14:ligatures w14:val="none"/>
        </w:rPr>
        <w:t>cetānā</w:t>
      </w:r>
      <w:r w:rsidRPr="003E0B22">
        <w:rPr>
          <w:rFonts w:ascii="Times New Roman" w:eastAsia="Times New Roman" w:hAnsi="Times New Roman" w:cs="Times New Roman"/>
          <w:color w:val="000000"/>
          <w:kern w:val="0"/>
          <w14:ligatures w14:val="none"/>
        </w:rPr>
        <w:t>) es lo central.</w:t>
      </w:r>
    </w:p>
    <w:p w14:paraId="0FB01599" w14:textId="77777777" w:rsidR="003E0B22" w:rsidRPr="003E0B22" w:rsidRDefault="003E0B22" w:rsidP="003E0B2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Insectos pueden ser barridos o evitados, pero el daño accidental no implica falta moral.</w:t>
      </w:r>
    </w:p>
    <w:p w14:paraId="713941C1" w14:textId="77777777" w:rsidR="003E0B22" w:rsidRPr="003E0B22" w:rsidRDefault="003E0B22" w:rsidP="003E0B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0B22">
        <w:rPr>
          <w:rFonts w:ascii="Times New Roman" w:eastAsia="Times New Roman" w:hAnsi="Times New Roman" w:cs="Times New Roman"/>
          <w:b/>
          <w:bCs/>
          <w:color w:val="000000"/>
          <w:kern w:val="0"/>
          <w:sz w:val="27"/>
          <w:szCs w:val="27"/>
          <w14:ligatures w14:val="none"/>
        </w:rPr>
        <w:t>2.2. Budismo Mahāyāna</w:t>
      </w:r>
    </w:p>
    <w:p w14:paraId="3C9C8BA4"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Con la expansión Mahāyāna (siglos I–VII d.C.), la compasión universal (</w:t>
      </w:r>
      <w:r w:rsidRPr="003E0B22">
        <w:rPr>
          <w:rFonts w:ascii="Times New Roman" w:eastAsia="Times New Roman" w:hAnsi="Times New Roman" w:cs="Times New Roman"/>
          <w:i/>
          <w:iCs/>
          <w:color w:val="000000"/>
          <w:kern w:val="0"/>
          <w14:ligatures w14:val="none"/>
        </w:rPr>
        <w:t>karuṇā</w:t>
      </w:r>
      <w:r w:rsidRPr="003E0B22">
        <w:rPr>
          <w:rFonts w:ascii="Times New Roman" w:eastAsia="Times New Roman" w:hAnsi="Times New Roman" w:cs="Times New Roman"/>
          <w:color w:val="000000"/>
          <w:kern w:val="0"/>
          <w14:ligatures w14:val="none"/>
        </w:rPr>
        <w:t>) y la naturaleza búdica de todos los seres refuerzan una sensibilidad más estricta:</w:t>
      </w:r>
    </w:p>
    <w:p w14:paraId="5CA5D616" w14:textId="77777777" w:rsidR="003E0B22" w:rsidRPr="003E0B22" w:rsidRDefault="003E0B22" w:rsidP="003E0B2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Textos como el </w:t>
      </w:r>
      <w:r w:rsidRPr="003E0B22">
        <w:rPr>
          <w:rFonts w:ascii="Times New Roman" w:eastAsia="Times New Roman" w:hAnsi="Times New Roman" w:cs="Times New Roman"/>
          <w:i/>
          <w:iCs/>
          <w:color w:val="000000"/>
          <w:kern w:val="0"/>
          <w14:ligatures w14:val="none"/>
        </w:rPr>
        <w:t>Lankāvatāra-sūtra</w:t>
      </w:r>
      <w:r w:rsidRPr="003E0B22">
        <w:rPr>
          <w:rFonts w:ascii="Times New Roman" w:eastAsia="Times New Roman" w:hAnsi="Times New Roman" w:cs="Times New Roman"/>
          <w:color w:val="000000"/>
          <w:kern w:val="0"/>
          <w14:ligatures w14:val="none"/>
        </w:rPr>
        <w:t> y el </w:t>
      </w:r>
      <w:r w:rsidRPr="003E0B22">
        <w:rPr>
          <w:rFonts w:ascii="Times New Roman" w:eastAsia="Times New Roman" w:hAnsi="Times New Roman" w:cs="Times New Roman"/>
          <w:i/>
          <w:iCs/>
          <w:color w:val="000000"/>
          <w:kern w:val="0"/>
          <w14:ligatures w14:val="none"/>
        </w:rPr>
        <w:t>Brahmajāla-sūtra (Mahayana)</w:t>
      </w:r>
      <w:r w:rsidRPr="003E0B22">
        <w:rPr>
          <w:rFonts w:ascii="Times New Roman" w:eastAsia="Times New Roman" w:hAnsi="Times New Roman" w:cs="Times New Roman"/>
          <w:color w:val="000000"/>
          <w:kern w:val="0"/>
          <w14:ligatures w14:val="none"/>
        </w:rPr>
        <w:t> sostienen que matar insectos es tan kármicamente negativo como matar animales mayores, porque la vida es una.</w:t>
      </w:r>
    </w:p>
    <w:p w14:paraId="6112FD15" w14:textId="77777777" w:rsidR="003E0B22" w:rsidRPr="003E0B22" w:rsidRDefault="003E0B22" w:rsidP="003E0B2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En China y Japón, los monjes zen evitaban incluso encender velas cerca de insectos para no quemarlos.</w:t>
      </w:r>
    </w:p>
    <w:p w14:paraId="3083E878" w14:textId="77777777" w:rsidR="003E0B22" w:rsidRPr="003E0B22" w:rsidRDefault="003E0B22" w:rsidP="003E0B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0B22">
        <w:rPr>
          <w:rFonts w:ascii="Times New Roman" w:eastAsia="Times New Roman" w:hAnsi="Times New Roman" w:cs="Times New Roman"/>
          <w:b/>
          <w:bCs/>
          <w:color w:val="000000"/>
          <w:kern w:val="0"/>
          <w:sz w:val="27"/>
          <w:szCs w:val="27"/>
          <w14:ligatures w14:val="none"/>
        </w:rPr>
        <w:t>2.3. Historiografía comparada</w:t>
      </w:r>
    </w:p>
    <w:p w14:paraId="4F7A1544"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Los estudios de Schopen y de Gregory Schopen resaltan una tensión: aunque doctrinalmente se prohíbe, la arqueología muestra que en comunidades monásticas reales hubo compromisos prácticos.</w:t>
      </w:r>
    </w:p>
    <w:p w14:paraId="198EAB18"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En cambio, en la tradición </w:t>
      </w:r>
      <w:r w:rsidRPr="003E0B22">
        <w:rPr>
          <w:rFonts w:ascii="Times New Roman" w:eastAsia="Times New Roman" w:hAnsi="Times New Roman" w:cs="Times New Roman"/>
          <w:b/>
          <w:bCs/>
          <w:color w:val="000000"/>
          <w:kern w:val="0"/>
          <w14:ligatures w14:val="none"/>
        </w:rPr>
        <w:t>chan/zen china</w:t>
      </w:r>
      <w:r w:rsidRPr="003E0B22">
        <w:rPr>
          <w:rFonts w:ascii="Times New Roman" w:eastAsia="Times New Roman" w:hAnsi="Times New Roman" w:cs="Times New Roman"/>
          <w:color w:val="000000"/>
          <w:kern w:val="0"/>
          <w14:ligatures w14:val="none"/>
        </w:rPr>
        <w:t>, textos tang tardíos muestran debates sobre si un maestro plenamente iluminado podía operar más allá de la distinción vida-muerte, suavizando la norma.</w:t>
      </w:r>
    </w:p>
    <w:p w14:paraId="114685F2" w14:textId="77777777" w:rsidR="003E0B22" w:rsidRPr="003E0B22" w:rsidRDefault="003E0B22" w:rsidP="003E0B22">
      <w:pPr>
        <w:spacing w:after="0" w:line="240" w:lineRule="auto"/>
        <w:rPr>
          <w:rFonts w:ascii="Times New Roman" w:eastAsia="Times New Roman" w:hAnsi="Times New Roman" w:cs="Times New Roman"/>
          <w:kern w:val="0"/>
          <w14:ligatures w14:val="none"/>
        </w:rPr>
      </w:pPr>
      <w:r w:rsidRPr="003E0B22">
        <w:rPr>
          <w:rFonts w:ascii="Times New Roman" w:eastAsia="Times New Roman" w:hAnsi="Times New Roman" w:cs="Times New Roman"/>
          <w:kern w:val="0"/>
          <w14:ligatures w14:val="none"/>
        </w:rPr>
        <w:pict w14:anchorId="0781E5F2">
          <v:rect id="_x0000_i1027" style="width:0;height:1.5pt" o:hralign="center" o:hrstd="t" o:hr="t" fillcolor="#a0a0a0" stroked="f"/>
        </w:pict>
      </w:r>
    </w:p>
    <w:p w14:paraId="598D60AA" w14:textId="77777777" w:rsidR="003E0B22" w:rsidRPr="003E0B22" w:rsidRDefault="003E0B22" w:rsidP="003E0B2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E0B22">
        <w:rPr>
          <w:rFonts w:ascii="Times New Roman" w:eastAsia="Times New Roman" w:hAnsi="Times New Roman" w:cs="Times New Roman"/>
          <w:b/>
          <w:bCs/>
          <w:color w:val="000000"/>
          <w:kern w:val="0"/>
          <w:sz w:val="36"/>
          <w:szCs w:val="36"/>
          <w14:ligatures w14:val="none"/>
        </w:rPr>
        <w:t>3. Hinduismo: diversidad doctrinal y la ética de la </w:t>
      </w:r>
      <w:r w:rsidRPr="003E0B22">
        <w:rPr>
          <w:rFonts w:ascii="Times New Roman" w:eastAsia="Times New Roman" w:hAnsi="Times New Roman" w:cs="Times New Roman"/>
          <w:b/>
          <w:bCs/>
          <w:i/>
          <w:iCs/>
          <w:color w:val="000000"/>
          <w:kern w:val="0"/>
          <w:sz w:val="36"/>
          <w:szCs w:val="36"/>
          <w14:ligatures w14:val="none"/>
        </w:rPr>
        <w:t>ahiṃsā</w:t>
      </w:r>
    </w:p>
    <w:p w14:paraId="1FC24C1A"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lastRenderedPageBreak/>
        <w:t>Si bien el jainismo es el núcleo radical de la no-violencia, ciertas corrientes hinduistas —particularmente las influenciadas por el sramanismo— adoptaron prohibiciones importantes.</w:t>
      </w:r>
    </w:p>
    <w:p w14:paraId="7BEE3BF6" w14:textId="77777777" w:rsidR="003E0B22" w:rsidRPr="003E0B22" w:rsidRDefault="003E0B22" w:rsidP="003E0B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0B22">
        <w:rPr>
          <w:rFonts w:ascii="Times New Roman" w:eastAsia="Times New Roman" w:hAnsi="Times New Roman" w:cs="Times New Roman"/>
          <w:b/>
          <w:bCs/>
          <w:color w:val="000000"/>
          <w:kern w:val="0"/>
          <w:sz w:val="27"/>
          <w:szCs w:val="27"/>
          <w14:ligatures w14:val="none"/>
        </w:rPr>
        <w:t>3.1. Tradiciones Vaiṣṇava</w:t>
      </w:r>
    </w:p>
    <w:p w14:paraId="7D7F473F"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Bhakti medieval (siglos VIII–XII) enfatiza la devoción amorosa:</w:t>
      </w:r>
    </w:p>
    <w:p w14:paraId="16DD37E5" w14:textId="77777777" w:rsidR="003E0B22" w:rsidRPr="003E0B22" w:rsidRDefault="003E0B22" w:rsidP="003E0B2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En textos de Tulsidas y en hagiografías de Chaitanya Mahaprabhu se exhorta a no causar sufrimiento a criatura alguna, incluidos insectos, porque “todos pertenecen a Krishna”.</w:t>
      </w:r>
    </w:p>
    <w:p w14:paraId="3FB61758" w14:textId="77777777" w:rsidR="003E0B22" w:rsidRPr="003E0B22" w:rsidRDefault="003E0B22" w:rsidP="003E0B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0B22">
        <w:rPr>
          <w:rFonts w:ascii="Times New Roman" w:eastAsia="Times New Roman" w:hAnsi="Times New Roman" w:cs="Times New Roman"/>
          <w:b/>
          <w:bCs/>
          <w:color w:val="000000"/>
          <w:kern w:val="0"/>
          <w:sz w:val="27"/>
          <w:szCs w:val="27"/>
          <w14:ligatures w14:val="none"/>
        </w:rPr>
        <w:t>3.2. Tradiciones Śaiva y Vedanta</w:t>
      </w:r>
    </w:p>
    <w:p w14:paraId="47AA6BED"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Śaivas y vedantinos suelen adoptar restricciones menos estrictas, aunque en el </w:t>
      </w:r>
      <w:r w:rsidRPr="003E0B22">
        <w:rPr>
          <w:rFonts w:ascii="Times New Roman" w:eastAsia="Times New Roman" w:hAnsi="Times New Roman" w:cs="Times New Roman"/>
          <w:b/>
          <w:bCs/>
          <w:color w:val="000000"/>
          <w:kern w:val="0"/>
          <w14:ligatures w14:val="none"/>
        </w:rPr>
        <w:t>Advaita Vedanta</w:t>
      </w:r>
      <w:r w:rsidRPr="003E0B22">
        <w:rPr>
          <w:rFonts w:ascii="Times New Roman" w:eastAsia="Times New Roman" w:hAnsi="Times New Roman" w:cs="Times New Roman"/>
          <w:color w:val="000000"/>
          <w:kern w:val="0"/>
          <w14:ligatures w14:val="none"/>
        </w:rPr>
        <w:t> hay autores que proponen la compasión universal basada en la unidad del Atman-Brahman:</w:t>
      </w:r>
    </w:p>
    <w:p w14:paraId="6FFB3E95" w14:textId="77777777" w:rsidR="003E0B22" w:rsidRPr="003E0B22" w:rsidRDefault="003E0B22" w:rsidP="003E0B2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Si todo es Brahman, destruir un insecto es destruir la propia esencia.</w:t>
      </w:r>
    </w:p>
    <w:p w14:paraId="149CD204" w14:textId="77777777" w:rsidR="003E0B22" w:rsidRPr="003E0B22" w:rsidRDefault="003E0B22" w:rsidP="003E0B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0B22">
        <w:rPr>
          <w:rFonts w:ascii="Times New Roman" w:eastAsia="Times New Roman" w:hAnsi="Times New Roman" w:cs="Times New Roman"/>
          <w:b/>
          <w:bCs/>
          <w:color w:val="000000"/>
          <w:kern w:val="0"/>
          <w:sz w:val="27"/>
          <w:szCs w:val="27"/>
          <w14:ligatures w14:val="none"/>
        </w:rPr>
        <w:t>3.3. Fuentes legales (Dharmaśāstras)</w:t>
      </w:r>
    </w:p>
    <w:p w14:paraId="5F31AEE8"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Textos como el </w:t>
      </w:r>
      <w:r w:rsidRPr="003E0B22">
        <w:rPr>
          <w:rFonts w:ascii="Times New Roman" w:eastAsia="Times New Roman" w:hAnsi="Times New Roman" w:cs="Times New Roman"/>
          <w:i/>
          <w:iCs/>
          <w:color w:val="000000"/>
          <w:kern w:val="0"/>
          <w14:ligatures w14:val="none"/>
        </w:rPr>
        <w:t>Manu-smṛti</w:t>
      </w:r>
      <w:r w:rsidRPr="003E0B22">
        <w:rPr>
          <w:rFonts w:ascii="Times New Roman" w:eastAsia="Times New Roman" w:hAnsi="Times New Roman" w:cs="Times New Roman"/>
          <w:color w:val="000000"/>
          <w:kern w:val="0"/>
          <w14:ligatures w14:val="none"/>
        </w:rPr>
        <w:t> recomiendan evitar causar daño a insectos, aunque no lo absolutizan. La sensibilidad varía según época y región.</w:t>
      </w:r>
    </w:p>
    <w:p w14:paraId="100FD0C0" w14:textId="77777777" w:rsidR="003E0B22" w:rsidRPr="003E0B22" w:rsidRDefault="003E0B22" w:rsidP="003E0B22">
      <w:pPr>
        <w:spacing w:after="0" w:line="240" w:lineRule="auto"/>
        <w:rPr>
          <w:rFonts w:ascii="Times New Roman" w:eastAsia="Times New Roman" w:hAnsi="Times New Roman" w:cs="Times New Roman"/>
          <w:kern w:val="0"/>
          <w14:ligatures w14:val="none"/>
        </w:rPr>
      </w:pPr>
      <w:r w:rsidRPr="003E0B22">
        <w:rPr>
          <w:rFonts w:ascii="Times New Roman" w:eastAsia="Times New Roman" w:hAnsi="Times New Roman" w:cs="Times New Roman"/>
          <w:kern w:val="0"/>
          <w14:ligatures w14:val="none"/>
        </w:rPr>
        <w:pict w14:anchorId="1D5F1CDA">
          <v:rect id="_x0000_i1028" style="width:0;height:1.5pt" o:hralign="center" o:hrstd="t" o:hr="t" fillcolor="#a0a0a0" stroked="f"/>
        </w:pict>
      </w:r>
    </w:p>
    <w:p w14:paraId="49C820C1" w14:textId="77777777" w:rsidR="003E0B22" w:rsidRPr="003E0B22" w:rsidRDefault="003E0B22" w:rsidP="003E0B2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E0B22">
        <w:rPr>
          <w:rFonts w:ascii="Times New Roman" w:eastAsia="Times New Roman" w:hAnsi="Times New Roman" w:cs="Times New Roman"/>
          <w:b/>
          <w:bCs/>
          <w:color w:val="000000"/>
          <w:kern w:val="0"/>
          <w:sz w:val="36"/>
          <w:szCs w:val="36"/>
          <w14:ligatures w14:val="none"/>
        </w:rPr>
        <w:t>4. Antigüedad grecolatina: pitagorismo, orfismo y el respeto a toda vida</w:t>
      </w:r>
    </w:p>
    <w:p w14:paraId="1D9D5F23" w14:textId="77777777" w:rsidR="003E0B22" w:rsidRPr="003E0B22" w:rsidRDefault="003E0B22" w:rsidP="003E0B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0B22">
        <w:rPr>
          <w:rFonts w:ascii="Times New Roman" w:eastAsia="Times New Roman" w:hAnsi="Times New Roman" w:cs="Times New Roman"/>
          <w:b/>
          <w:bCs/>
          <w:color w:val="000000"/>
          <w:kern w:val="0"/>
          <w:sz w:val="27"/>
          <w:szCs w:val="27"/>
          <w14:ligatures w14:val="none"/>
        </w:rPr>
        <w:t>4.1. Pitagóricos</w:t>
      </w:r>
    </w:p>
    <w:p w14:paraId="39577F15"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El pitagorismo (siglos VI–IV a.C.) sostenía que todas las almas son afines y pueden transmigrar.</w:t>
      </w:r>
    </w:p>
    <w:p w14:paraId="6CB31966" w14:textId="77777777" w:rsidR="003E0B22" w:rsidRPr="003E0B22" w:rsidRDefault="003E0B22" w:rsidP="003E0B2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El ideal de </w:t>
      </w:r>
      <w:r w:rsidRPr="003E0B22">
        <w:rPr>
          <w:rFonts w:ascii="Times New Roman" w:eastAsia="Times New Roman" w:hAnsi="Times New Roman" w:cs="Times New Roman"/>
          <w:b/>
          <w:bCs/>
          <w:color w:val="000000"/>
          <w:kern w:val="0"/>
          <w14:ligatures w14:val="none"/>
        </w:rPr>
        <w:t>no dañar seres vivos</w:t>
      </w:r>
      <w:r w:rsidRPr="003E0B22">
        <w:rPr>
          <w:rFonts w:ascii="Times New Roman" w:eastAsia="Times New Roman" w:hAnsi="Times New Roman" w:cs="Times New Roman"/>
          <w:color w:val="000000"/>
          <w:kern w:val="0"/>
          <w14:ligatures w14:val="none"/>
        </w:rPr>
        <w:t> incluía a los animales pequeños.</w:t>
      </w:r>
    </w:p>
    <w:p w14:paraId="2DE256EA" w14:textId="77777777" w:rsidR="003E0B22" w:rsidRPr="003E0B22" w:rsidRDefault="003E0B22" w:rsidP="003E0B2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Algunas fuentes tardías (Porfirio, Jámblico) señalan explícitamente la prohibición de matar insectos como parte del ascetismo pitagórico.</w:t>
      </w:r>
    </w:p>
    <w:p w14:paraId="5F2D2865" w14:textId="77777777" w:rsidR="003E0B22" w:rsidRPr="003E0B22" w:rsidRDefault="003E0B22" w:rsidP="003E0B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0B22">
        <w:rPr>
          <w:rFonts w:ascii="Times New Roman" w:eastAsia="Times New Roman" w:hAnsi="Times New Roman" w:cs="Times New Roman"/>
          <w:b/>
          <w:bCs/>
          <w:color w:val="000000"/>
          <w:kern w:val="0"/>
          <w:sz w:val="27"/>
          <w:szCs w:val="27"/>
          <w14:ligatures w14:val="none"/>
        </w:rPr>
        <w:t>4.2. Estoicismo</w:t>
      </w:r>
    </w:p>
    <w:p w14:paraId="62739F47"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El estoicismo no prohíbe matar insectos, pero algunas ramas tardías (Hierocles) promueven una expansión de la </w:t>
      </w:r>
      <w:r w:rsidRPr="003E0B22">
        <w:rPr>
          <w:rFonts w:ascii="Times New Roman" w:eastAsia="Times New Roman" w:hAnsi="Times New Roman" w:cs="Times New Roman"/>
          <w:i/>
          <w:iCs/>
          <w:color w:val="000000"/>
          <w:kern w:val="0"/>
          <w14:ligatures w14:val="none"/>
        </w:rPr>
        <w:t>oikeiosis</w:t>
      </w:r>
      <w:r w:rsidRPr="003E0B22">
        <w:rPr>
          <w:rFonts w:ascii="Times New Roman" w:eastAsia="Times New Roman" w:hAnsi="Times New Roman" w:cs="Times New Roman"/>
          <w:color w:val="000000"/>
          <w:kern w:val="0"/>
          <w14:ligatures w14:val="none"/>
        </w:rPr>
        <w:t> que incluye cuidado hacia seres inferiores, aunque no llega a la prohibición.</w:t>
      </w:r>
    </w:p>
    <w:p w14:paraId="08B258EA" w14:textId="77777777" w:rsidR="003E0B22" w:rsidRPr="003E0B22" w:rsidRDefault="003E0B22" w:rsidP="003E0B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0B22">
        <w:rPr>
          <w:rFonts w:ascii="Times New Roman" w:eastAsia="Times New Roman" w:hAnsi="Times New Roman" w:cs="Times New Roman"/>
          <w:b/>
          <w:bCs/>
          <w:color w:val="000000"/>
          <w:kern w:val="0"/>
          <w:sz w:val="27"/>
          <w:szCs w:val="27"/>
          <w14:ligatures w14:val="none"/>
        </w:rPr>
        <w:t>4.3. Historiografía</w:t>
      </w:r>
    </w:p>
    <w:p w14:paraId="3D09AE9F"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lastRenderedPageBreak/>
        <w:t>Los estudios modernos (Burkert, Kingsley, Kahn) consideran que los pitagóricos se asemejaban a los sramanas indios en sus prácticas ascéticas y en su sensibilidad hacia criaturas diminutas.</w:t>
      </w:r>
    </w:p>
    <w:p w14:paraId="377CEAA5" w14:textId="77777777" w:rsidR="003E0B22" w:rsidRPr="003E0B22" w:rsidRDefault="003E0B22" w:rsidP="003E0B22">
      <w:pPr>
        <w:spacing w:after="0" w:line="240" w:lineRule="auto"/>
        <w:rPr>
          <w:rFonts w:ascii="Times New Roman" w:eastAsia="Times New Roman" w:hAnsi="Times New Roman" w:cs="Times New Roman"/>
          <w:kern w:val="0"/>
          <w14:ligatures w14:val="none"/>
        </w:rPr>
      </w:pPr>
      <w:r w:rsidRPr="003E0B22">
        <w:rPr>
          <w:rFonts w:ascii="Times New Roman" w:eastAsia="Times New Roman" w:hAnsi="Times New Roman" w:cs="Times New Roman"/>
          <w:kern w:val="0"/>
          <w14:ligatures w14:val="none"/>
        </w:rPr>
        <w:pict w14:anchorId="64E2A9EA">
          <v:rect id="_x0000_i1029" style="width:0;height:1.5pt" o:hralign="center" o:hrstd="t" o:hr="t" fillcolor="#a0a0a0" stroked="f"/>
        </w:pict>
      </w:r>
    </w:p>
    <w:p w14:paraId="4E429076" w14:textId="77777777" w:rsidR="003E0B22" w:rsidRPr="003E0B22" w:rsidRDefault="003E0B22" w:rsidP="003E0B2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E0B22">
        <w:rPr>
          <w:rFonts w:ascii="Times New Roman" w:eastAsia="Times New Roman" w:hAnsi="Times New Roman" w:cs="Times New Roman"/>
          <w:b/>
          <w:bCs/>
          <w:color w:val="000000"/>
          <w:kern w:val="0"/>
          <w:sz w:val="36"/>
          <w:szCs w:val="36"/>
          <w14:ligatures w14:val="none"/>
        </w:rPr>
        <w:t>5. Cristianismo: de la compasión general a la regulación monástica</w:t>
      </w:r>
    </w:p>
    <w:p w14:paraId="6AACD482" w14:textId="77777777" w:rsidR="003E0B22" w:rsidRPr="003E0B22" w:rsidRDefault="003E0B22" w:rsidP="003E0B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0B22">
        <w:rPr>
          <w:rFonts w:ascii="Times New Roman" w:eastAsia="Times New Roman" w:hAnsi="Times New Roman" w:cs="Times New Roman"/>
          <w:b/>
          <w:bCs/>
          <w:color w:val="000000"/>
          <w:kern w:val="0"/>
          <w:sz w:val="27"/>
          <w:szCs w:val="27"/>
          <w14:ligatures w14:val="none"/>
        </w:rPr>
        <w:t>5.1. Cristianismo primitivo</w:t>
      </w:r>
    </w:p>
    <w:p w14:paraId="036170AC"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Los Evangelios no prohíben explícitamente matar insectos. Sin embargo, los ideales de misericordia y mansedumbre inspiraron prácticas de sensibilidad hacia criaturas mínimas.</w:t>
      </w:r>
    </w:p>
    <w:p w14:paraId="4C2C2A1C" w14:textId="77777777" w:rsidR="003E0B22" w:rsidRPr="003E0B22" w:rsidRDefault="003E0B22" w:rsidP="003E0B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0B22">
        <w:rPr>
          <w:rFonts w:ascii="Times New Roman" w:eastAsia="Times New Roman" w:hAnsi="Times New Roman" w:cs="Times New Roman"/>
          <w:b/>
          <w:bCs/>
          <w:color w:val="000000"/>
          <w:kern w:val="0"/>
          <w:sz w:val="27"/>
          <w:szCs w:val="27"/>
          <w14:ligatures w14:val="none"/>
        </w:rPr>
        <w:t>5.2. Padres del desierto</w:t>
      </w:r>
    </w:p>
    <w:p w14:paraId="555853C8"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En las </w:t>
      </w:r>
      <w:r w:rsidRPr="003E0B22">
        <w:rPr>
          <w:rFonts w:ascii="Times New Roman" w:eastAsia="Times New Roman" w:hAnsi="Times New Roman" w:cs="Times New Roman"/>
          <w:i/>
          <w:iCs/>
          <w:color w:val="000000"/>
          <w:kern w:val="0"/>
          <w14:ligatures w14:val="none"/>
        </w:rPr>
        <w:t>Apophthegmata Patrum</w:t>
      </w:r>
      <w:r w:rsidRPr="003E0B22">
        <w:rPr>
          <w:rFonts w:ascii="Times New Roman" w:eastAsia="Times New Roman" w:hAnsi="Times New Roman" w:cs="Times New Roman"/>
          <w:color w:val="000000"/>
          <w:kern w:val="0"/>
          <w14:ligatures w14:val="none"/>
        </w:rPr>
        <w:t> se narran episodios donde algunos monjes (p.ej., san Macario) evitaban dañar incluso insectos, viendo en ello una expresión de humildad radical y restitución del estado paradisiaco.</w:t>
      </w:r>
    </w:p>
    <w:p w14:paraId="3892F0CE" w14:textId="77777777" w:rsidR="003E0B22" w:rsidRPr="003E0B22" w:rsidRDefault="003E0B22" w:rsidP="003E0B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0B22">
        <w:rPr>
          <w:rFonts w:ascii="Times New Roman" w:eastAsia="Times New Roman" w:hAnsi="Times New Roman" w:cs="Times New Roman"/>
          <w:b/>
          <w:bCs/>
          <w:color w:val="000000"/>
          <w:kern w:val="0"/>
          <w:sz w:val="27"/>
          <w:szCs w:val="27"/>
          <w14:ligatures w14:val="none"/>
        </w:rPr>
        <w:t>5.3. Francisco de Asís</w:t>
      </w:r>
    </w:p>
    <w:p w14:paraId="782CDDCF"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Aunque el franciscanismo no prohíbe matar insectos, sus descripciones de fraternidad universal llevaron a ciertos comentaristas medievales a condenar el daño deliberado a toda forma de vida.</w:t>
      </w:r>
    </w:p>
    <w:p w14:paraId="6C463945" w14:textId="77777777" w:rsidR="003E0B22" w:rsidRPr="003E0B22" w:rsidRDefault="003E0B22" w:rsidP="003E0B2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El </w:t>
      </w:r>
      <w:r w:rsidRPr="003E0B22">
        <w:rPr>
          <w:rFonts w:ascii="Times New Roman" w:eastAsia="Times New Roman" w:hAnsi="Times New Roman" w:cs="Times New Roman"/>
          <w:i/>
          <w:iCs/>
          <w:color w:val="000000"/>
          <w:kern w:val="0"/>
          <w14:ligatures w14:val="none"/>
        </w:rPr>
        <w:t>Espejo de la Perfección</w:t>
      </w:r>
      <w:r w:rsidRPr="003E0B22">
        <w:rPr>
          <w:rFonts w:ascii="Times New Roman" w:eastAsia="Times New Roman" w:hAnsi="Times New Roman" w:cs="Times New Roman"/>
          <w:color w:val="000000"/>
          <w:kern w:val="0"/>
          <w14:ligatures w14:val="none"/>
        </w:rPr>
        <w:t> menciona actitudes de compasión hacia criaturas pequeñas.</w:t>
      </w:r>
    </w:p>
    <w:p w14:paraId="5D0FFBA2" w14:textId="77777777" w:rsidR="003E0B22" w:rsidRPr="003E0B22" w:rsidRDefault="003E0B22" w:rsidP="003E0B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0B22">
        <w:rPr>
          <w:rFonts w:ascii="Times New Roman" w:eastAsia="Times New Roman" w:hAnsi="Times New Roman" w:cs="Times New Roman"/>
          <w:b/>
          <w:bCs/>
          <w:color w:val="000000"/>
          <w:kern w:val="0"/>
          <w:sz w:val="27"/>
          <w:szCs w:val="27"/>
          <w14:ligatures w14:val="none"/>
        </w:rPr>
        <w:t>5.4. Historiografía</w:t>
      </w:r>
    </w:p>
    <w:p w14:paraId="49356186"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Los estudios de Agamben, Leclerc, y Boureau muestran cómo la sensibilidad franciscana marcó un giro antropológico: reconocer a toda criatura como </w:t>
      </w:r>
      <w:r w:rsidRPr="003E0B22">
        <w:rPr>
          <w:rFonts w:ascii="Times New Roman" w:eastAsia="Times New Roman" w:hAnsi="Times New Roman" w:cs="Times New Roman"/>
          <w:i/>
          <w:iCs/>
          <w:color w:val="000000"/>
          <w:kern w:val="0"/>
          <w14:ligatures w14:val="none"/>
        </w:rPr>
        <w:t>hermano</w:t>
      </w:r>
      <w:r w:rsidRPr="003E0B22">
        <w:rPr>
          <w:rFonts w:ascii="Times New Roman" w:eastAsia="Times New Roman" w:hAnsi="Times New Roman" w:cs="Times New Roman"/>
          <w:color w:val="000000"/>
          <w:kern w:val="0"/>
          <w14:ligatures w14:val="none"/>
        </w:rPr>
        <w:t> o </w:t>
      </w:r>
      <w:r w:rsidRPr="003E0B22">
        <w:rPr>
          <w:rFonts w:ascii="Times New Roman" w:eastAsia="Times New Roman" w:hAnsi="Times New Roman" w:cs="Times New Roman"/>
          <w:i/>
          <w:iCs/>
          <w:color w:val="000000"/>
          <w:kern w:val="0"/>
          <w14:ligatures w14:val="none"/>
        </w:rPr>
        <w:t>hermana</w:t>
      </w:r>
      <w:r w:rsidRPr="003E0B22">
        <w:rPr>
          <w:rFonts w:ascii="Times New Roman" w:eastAsia="Times New Roman" w:hAnsi="Times New Roman" w:cs="Times New Roman"/>
          <w:color w:val="000000"/>
          <w:kern w:val="0"/>
          <w14:ligatures w14:val="none"/>
        </w:rPr>
        <w:t> desestabiliza jerarquías ontológicas.</w:t>
      </w:r>
    </w:p>
    <w:p w14:paraId="1FEB2C32" w14:textId="77777777" w:rsidR="003E0B22" w:rsidRPr="003E0B22" w:rsidRDefault="00FF1215" w:rsidP="003E0B22">
      <w:pPr>
        <w:spacing w:after="0" w:line="240" w:lineRule="auto"/>
        <w:rPr>
          <w:rFonts w:ascii="Times New Roman" w:eastAsia="Times New Roman" w:hAnsi="Times New Roman" w:cs="Times New Roman"/>
          <w:kern w:val="0"/>
          <w14:ligatures w14:val="none"/>
        </w:rPr>
      </w:pPr>
      <w:r w:rsidRPr="00FF1215">
        <w:rPr>
          <w:rFonts w:ascii="Times New Roman" w:eastAsia="Times New Roman" w:hAnsi="Times New Roman" w:cs="Times New Roman"/>
          <w:noProof/>
          <w:kern w:val="0"/>
        </w:rPr>
        <w:pict w14:anchorId="45E277CE">
          <v:rect id="_x0000_i1033" alt="" style="width:468pt;height:.05pt;mso-width-percent:0;mso-height-percent:0;mso-width-percent:0;mso-height-percent:0" o:hralign="center" o:hrstd="t" o:hr="t" fillcolor="#a0a0a0" stroked="f"/>
        </w:pict>
      </w:r>
    </w:p>
    <w:p w14:paraId="1C0B3DD4" w14:textId="77777777" w:rsidR="003E0B22" w:rsidRPr="003E0B22" w:rsidRDefault="003E0B22" w:rsidP="003E0B2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E0B22">
        <w:rPr>
          <w:rFonts w:ascii="Times New Roman" w:eastAsia="Times New Roman" w:hAnsi="Times New Roman" w:cs="Times New Roman"/>
          <w:b/>
          <w:bCs/>
          <w:color w:val="000000"/>
          <w:kern w:val="0"/>
          <w:sz w:val="36"/>
          <w:szCs w:val="36"/>
          <w14:ligatures w14:val="none"/>
        </w:rPr>
        <w:t>6. Islam: tradiciones místicas y sensibilidad a lo minúsculo</w:t>
      </w:r>
    </w:p>
    <w:p w14:paraId="764FA250" w14:textId="77777777" w:rsidR="003E0B22" w:rsidRPr="003E0B22" w:rsidRDefault="003E0B22" w:rsidP="003E0B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0B22">
        <w:rPr>
          <w:rFonts w:ascii="Times New Roman" w:eastAsia="Times New Roman" w:hAnsi="Times New Roman" w:cs="Times New Roman"/>
          <w:b/>
          <w:bCs/>
          <w:color w:val="000000"/>
          <w:kern w:val="0"/>
          <w:sz w:val="27"/>
          <w:szCs w:val="27"/>
          <w14:ligatures w14:val="none"/>
        </w:rPr>
        <w:t>6.1. Normativa general</w:t>
      </w:r>
    </w:p>
    <w:p w14:paraId="6812CF05"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La ley islámica no prohíbe matar insectos dañinos, pero sí desalienta la crueldad innecesaria.</w:t>
      </w:r>
    </w:p>
    <w:p w14:paraId="349CEBAD" w14:textId="77777777" w:rsidR="003E0B22" w:rsidRPr="003E0B22" w:rsidRDefault="003E0B22" w:rsidP="003E0B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0B22">
        <w:rPr>
          <w:rFonts w:ascii="Times New Roman" w:eastAsia="Times New Roman" w:hAnsi="Times New Roman" w:cs="Times New Roman"/>
          <w:b/>
          <w:bCs/>
          <w:color w:val="000000"/>
          <w:kern w:val="0"/>
          <w:sz w:val="27"/>
          <w:szCs w:val="27"/>
          <w14:ligatures w14:val="none"/>
        </w:rPr>
        <w:t>6.2. Sufismo</w:t>
      </w:r>
    </w:p>
    <w:p w14:paraId="030A252B"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lastRenderedPageBreak/>
        <w:t>Textos sufíes (Rumi, Attar) enfatizan la </w:t>
      </w:r>
      <w:r w:rsidRPr="003E0B22">
        <w:rPr>
          <w:rFonts w:ascii="Times New Roman" w:eastAsia="Times New Roman" w:hAnsi="Times New Roman" w:cs="Times New Roman"/>
          <w:i/>
          <w:iCs/>
          <w:color w:val="000000"/>
          <w:kern w:val="0"/>
          <w14:ligatures w14:val="none"/>
        </w:rPr>
        <w:t>rahma</w:t>
      </w:r>
      <w:r w:rsidRPr="003E0B22">
        <w:rPr>
          <w:rFonts w:ascii="Times New Roman" w:eastAsia="Times New Roman" w:hAnsi="Times New Roman" w:cs="Times New Roman"/>
          <w:color w:val="000000"/>
          <w:kern w:val="0"/>
          <w14:ligatures w14:val="none"/>
        </w:rPr>
        <w:t> (misericordia universal). Algunos relatos de derviches y santos incluyen evitar dañar moscas o hormigas por principios de pureza espiritual y </w:t>
      </w:r>
      <w:r w:rsidRPr="003E0B22">
        <w:rPr>
          <w:rFonts w:ascii="Times New Roman" w:eastAsia="Times New Roman" w:hAnsi="Times New Roman" w:cs="Times New Roman"/>
          <w:i/>
          <w:iCs/>
          <w:color w:val="000000"/>
          <w:kern w:val="0"/>
          <w14:ligatures w14:val="none"/>
        </w:rPr>
        <w:t>tawḥīd</w:t>
      </w:r>
      <w:r w:rsidRPr="003E0B22">
        <w:rPr>
          <w:rFonts w:ascii="Times New Roman" w:eastAsia="Times New Roman" w:hAnsi="Times New Roman" w:cs="Times New Roman"/>
          <w:color w:val="000000"/>
          <w:kern w:val="0"/>
          <w14:ligatures w14:val="none"/>
        </w:rPr>
        <w:t>: todo ser glorifica a Dios.</w:t>
      </w:r>
    </w:p>
    <w:p w14:paraId="37408384" w14:textId="77777777" w:rsidR="003E0B22" w:rsidRPr="003E0B22" w:rsidRDefault="003E0B22" w:rsidP="003E0B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0B22">
        <w:rPr>
          <w:rFonts w:ascii="Times New Roman" w:eastAsia="Times New Roman" w:hAnsi="Times New Roman" w:cs="Times New Roman"/>
          <w:b/>
          <w:bCs/>
          <w:color w:val="000000"/>
          <w:kern w:val="0"/>
          <w:sz w:val="27"/>
          <w:szCs w:val="27"/>
          <w14:ligatures w14:val="none"/>
        </w:rPr>
        <w:t>6.3. Historiografía</w:t>
      </w:r>
    </w:p>
    <w:p w14:paraId="41022ED4"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Autores contemporáneos (Chittick, Ernst) interpretan estas actitudes como expresiones del monismo místico islámico.</w:t>
      </w:r>
    </w:p>
    <w:p w14:paraId="0BCB5DA0" w14:textId="77777777" w:rsidR="003E0B22" w:rsidRPr="003E0B22" w:rsidRDefault="00FF1215" w:rsidP="003E0B22">
      <w:pPr>
        <w:spacing w:after="0" w:line="240" w:lineRule="auto"/>
        <w:rPr>
          <w:rFonts w:ascii="Times New Roman" w:eastAsia="Times New Roman" w:hAnsi="Times New Roman" w:cs="Times New Roman"/>
          <w:kern w:val="0"/>
          <w14:ligatures w14:val="none"/>
        </w:rPr>
      </w:pPr>
      <w:r w:rsidRPr="00FF1215">
        <w:rPr>
          <w:rFonts w:ascii="Times New Roman" w:eastAsia="Times New Roman" w:hAnsi="Times New Roman" w:cs="Times New Roman"/>
          <w:noProof/>
          <w:kern w:val="0"/>
        </w:rPr>
        <w:pict w14:anchorId="1B2A93F4">
          <v:rect id="_x0000_i1032" alt="" style="width:468pt;height:.05pt;mso-width-percent:0;mso-height-percent:0;mso-width-percent:0;mso-height-percent:0" o:hralign="center" o:hrstd="t" o:hr="t" fillcolor="#a0a0a0" stroked="f"/>
        </w:pict>
      </w:r>
    </w:p>
    <w:p w14:paraId="13D3781A" w14:textId="77777777" w:rsidR="003E0B22" w:rsidRPr="003E0B22" w:rsidRDefault="003E0B22" w:rsidP="003E0B2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E0B22">
        <w:rPr>
          <w:rFonts w:ascii="Times New Roman" w:eastAsia="Times New Roman" w:hAnsi="Times New Roman" w:cs="Times New Roman"/>
          <w:b/>
          <w:bCs/>
          <w:color w:val="000000"/>
          <w:kern w:val="0"/>
          <w:sz w:val="36"/>
          <w:szCs w:val="36"/>
          <w14:ligatures w14:val="none"/>
        </w:rPr>
        <w:t>7. Religiones indígenas y animistas: sacralidad de lo pequeño</w:t>
      </w:r>
    </w:p>
    <w:p w14:paraId="32B34108"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En muchas tradiciones chamánicas y animistas (américa indígena, siberia, áfrica), los insectos son:</w:t>
      </w:r>
    </w:p>
    <w:p w14:paraId="21D2A39A" w14:textId="77777777" w:rsidR="003E0B22" w:rsidRPr="003E0B22" w:rsidRDefault="003E0B22" w:rsidP="003E0B2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Espíritus,</w:t>
      </w:r>
    </w:p>
    <w:p w14:paraId="28DB20AA" w14:textId="77777777" w:rsidR="003E0B22" w:rsidRPr="003E0B22" w:rsidRDefault="003E0B22" w:rsidP="003E0B2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Mensajeros,</w:t>
      </w:r>
    </w:p>
    <w:p w14:paraId="7980EBCD" w14:textId="77777777" w:rsidR="003E0B22" w:rsidRPr="003E0B22" w:rsidRDefault="003E0B22" w:rsidP="003E0B2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Manifestaciones de antepasados.</w:t>
      </w:r>
    </w:p>
    <w:p w14:paraId="61E313B4"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En varias cosmovisiones amazónicas, matar insectos “sin permiso” puede romper equilibrios cosmológicos. La prohibición no es ética abstracta, sino </w:t>
      </w:r>
      <w:r w:rsidRPr="003E0B22">
        <w:rPr>
          <w:rFonts w:ascii="Times New Roman" w:eastAsia="Times New Roman" w:hAnsi="Times New Roman" w:cs="Times New Roman"/>
          <w:b/>
          <w:bCs/>
          <w:color w:val="000000"/>
          <w:kern w:val="0"/>
          <w14:ligatures w14:val="none"/>
        </w:rPr>
        <w:t>ontológica</w:t>
      </w:r>
      <w:r w:rsidRPr="003E0B22">
        <w:rPr>
          <w:rFonts w:ascii="Times New Roman" w:eastAsia="Times New Roman" w:hAnsi="Times New Roman" w:cs="Times New Roman"/>
          <w:color w:val="000000"/>
          <w:kern w:val="0"/>
          <w14:ligatures w14:val="none"/>
        </w:rPr>
        <w:t>: el insecto es parte del tejido sagrado.</w:t>
      </w:r>
    </w:p>
    <w:p w14:paraId="5F77C05F"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Historiadores contemporáneos (Viveiros de Castro, Descola) muestran que estas visiones poseen una metafísica relacional donde incluso los insectos tienen </w:t>
      </w:r>
      <w:r w:rsidRPr="003E0B22">
        <w:rPr>
          <w:rFonts w:ascii="Times New Roman" w:eastAsia="Times New Roman" w:hAnsi="Times New Roman" w:cs="Times New Roman"/>
          <w:i/>
          <w:iCs/>
          <w:color w:val="000000"/>
          <w:kern w:val="0"/>
          <w14:ligatures w14:val="none"/>
        </w:rPr>
        <w:t>persona</w:t>
      </w:r>
      <w:r w:rsidRPr="003E0B22">
        <w:rPr>
          <w:rFonts w:ascii="Times New Roman" w:eastAsia="Times New Roman" w:hAnsi="Times New Roman" w:cs="Times New Roman"/>
          <w:color w:val="000000"/>
          <w:kern w:val="0"/>
          <w14:ligatures w14:val="none"/>
        </w:rPr>
        <w:t>.</w:t>
      </w:r>
    </w:p>
    <w:p w14:paraId="101BF081" w14:textId="77777777" w:rsidR="003E0B22" w:rsidRPr="003E0B22" w:rsidRDefault="00FF1215" w:rsidP="003E0B22">
      <w:pPr>
        <w:spacing w:after="0" w:line="240" w:lineRule="auto"/>
        <w:rPr>
          <w:rFonts w:ascii="Times New Roman" w:eastAsia="Times New Roman" w:hAnsi="Times New Roman" w:cs="Times New Roman"/>
          <w:kern w:val="0"/>
          <w14:ligatures w14:val="none"/>
        </w:rPr>
      </w:pPr>
      <w:r w:rsidRPr="00FF1215">
        <w:rPr>
          <w:rFonts w:ascii="Times New Roman" w:eastAsia="Times New Roman" w:hAnsi="Times New Roman" w:cs="Times New Roman"/>
          <w:noProof/>
          <w:kern w:val="0"/>
        </w:rPr>
        <w:pict w14:anchorId="69F75D96">
          <v:rect id="_x0000_i1031" alt="" style="width:468pt;height:.05pt;mso-width-percent:0;mso-height-percent:0;mso-width-percent:0;mso-height-percent:0" o:hralign="center" o:hrstd="t" o:hr="t" fillcolor="#a0a0a0" stroked="f"/>
        </w:pict>
      </w:r>
    </w:p>
    <w:p w14:paraId="1AE63F3C" w14:textId="77777777" w:rsidR="003E0B22" w:rsidRPr="003E0B22" w:rsidRDefault="003E0B22" w:rsidP="003E0B2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E0B22">
        <w:rPr>
          <w:rFonts w:ascii="Times New Roman" w:eastAsia="Times New Roman" w:hAnsi="Times New Roman" w:cs="Times New Roman"/>
          <w:b/>
          <w:bCs/>
          <w:color w:val="000000"/>
          <w:kern w:val="0"/>
          <w:sz w:val="36"/>
          <w:szCs w:val="36"/>
          <w14:ligatures w14:val="none"/>
        </w:rPr>
        <w:t>8. Filosofías modernas, contemporáneas y éticas seculares</w:t>
      </w:r>
    </w:p>
    <w:p w14:paraId="0E14A762" w14:textId="77777777" w:rsidR="003E0B22" w:rsidRPr="003E0B22" w:rsidRDefault="003E0B22" w:rsidP="003E0B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0B22">
        <w:rPr>
          <w:rFonts w:ascii="Times New Roman" w:eastAsia="Times New Roman" w:hAnsi="Times New Roman" w:cs="Times New Roman"/>
          <w:b/>
          <w:bCs/>
          <w:color w:val="000000"/>
          <w:kern w:val="0"/>
          <w:sz w:val="27"/>
          <w:szCs w:val="27"/>
          <w14:ligatures w14:val="none"/>
        </w:rPr>
        <w:t>8.1. Schopenhauer</w:t>
      </w:r>
    </w:p>
    <w:p w14:paraId="49661220"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Promueve la compasión universal basada en la identidad metafísica de la voluntad. Aunque no legisla sobre insectos, los incluye en la amplitud de la compasión.</w:t>
      </w:r>
    </w:p>
    <w:p w14:paraId="6BD21FF4" w14:textId="77777777" w:rsidR="003E0B22" w:rsidRPr="003E0B22" w:rsidRDefault="003E0B22" w:rsidP="003E0B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0B22">
        <w:rPr>
          <w:rFonts w:ascii="Times New Roman" w:eastAsia="Times New Roman" w:hAnsi="Times New Roman" w:cs="Times New Roman"/>
          <w:b/>
          <w:bCs/>
          <w:color w:val="000000"/>
          <w:kern w:val="0"/>
          <w:sz w:val="27"/>
          <w:szCs w:val="27"/>
          <w14:ligatures w14:val="none"/>
        </w:rPr>
        <w:t>8.2. Albert Schweitzer</w:t>
      </w:r>
    </w:p>
    <w:p w14:paraId="7720B4AB"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Su principio de “Reverencia por la vida” implica evitar matar cualquier ser vivo, incluidos insectos, excepto por estricta necesidad.</w:t>
      </w:r>
    </w:p>
    <w:p w14:paraId="3CC00D04" w14:textId="77777777" w:rsidR="003E0B22" w:rsidRPr="003E0B22" w:rsidRDefault="003E0B22" w:rsidP="003E0B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0B22">
        <w:rPr>
          <w:rFonts w:ascii="Times New Roman" w:eastAsia="Times New Roman" w:hAnsi="Times New Roman" w:cs="Times New Roman"/>
          <w:b/>
          <w:bCs/>
          <w:color w:val="000000"/>
          <w:kern w:val="0"/>
          <w:sz w:val="27"/>
          <w:szCs w:val="27"/>
          <w14:ligatures w14:val="none"/>
        </w:rPr>
        <w:t>8.3. Ética animal contemporánea</w:t>
      </w:r>
    </w:p>
    <w:p w14:paraId="2EC026E6" w14:textId="77777777" w:rsidR="003E0B22" w:rsidRPr="003E0B22" w:rsidRDefault="003E0B22" w:rsidP="003E0B22">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Peter Singer y la ética utilitarista reconocen que los insectos pueden sentir dolor o al menos sufrir mínimamente.</w:t>
      </w:r>
    </w:p>
    <w:p w14:paraId="1CA1143B" w14:textId="77777777" w:rsidR="003E0B22" w:rsidRPr="003E0B22" w:rsidRDefault="003E0B22" w:rsidP="003E0B22">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lastRenderedPageBreak/>
        <w:t>Tom Regan, desde una ética de derechos, no los incluye, pero fomenta evitar daño innecesario.</w:t>
      </w:r>
    </w:p>
    <w:p w14:paraId="6A91EAA1" w14:textId="77777777" w:rsidR="003E0B22" w:rsidRPr="003E0B22" w:rsidRDefault="003E0B22" w:rsidP="003E0B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0B22">
        <w:rPr>
          <w:rFonts w:ascii="Times New Roman" w:eastAsia="Times New Roman" w:hAnsi="Times New Roman" w:cs="Times New Roman"/>
          <w:b/>
          <w:bCs/>
          <w:color w:val="000000"/>
          <w:kern w:val="0"/>
          <w:sz w:val="27"/>
          <w:szCs w:val="27"/>
          <w14:ligatures w14:val="none"/>
        </w:rPr>
        <w:t>8.4. Ecologías profundas y discursos biocéntricos</w:t>
      </w:r>
    </w:p>
    <w:p w14:paraId="7AE32276"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Arne Naess y el ecosofismo consideran que todas las formas de vida tienen valor intrínseco, lo que puede conducir a evitar matar insectos salvo necesidad ecológica extrema.</w:t>
      </w:r>
    </w:p>
    <w:p w14:paraId="76AE125C" w14:textId="77777777" w:rsidR="003E0B22" w:rsidRPr="003E0B22" w:rsidRDefault="00FF1215" w:rsidP="003E0B22">
      <w:pPr>
        <w:spacing w:after="0" w:line="240" w:lineRule="auto"/>
        <w:rPr>
          <w:rFonts w:ascii="Times New Roman" w:eastAsia="Times New Roman" w:hAnsi="Times New Roman" w:cs="Times New Roman"/>
          <w:kern w:val="0"/>
          <w14:ligatures w14:val="none"/>
        </w:rPr>
      </w:pPr>
      <w:r w:rsidRPr="00FF1215">
        <w:rPr>
          <w:rFonts w:ascii="Times New Roman" w:eastAsia="Times New Roman" w:hAnsi="Times New Roman" w:cs="Times New Roman"/>
          <w:noProof/>
          <w:kern w:val="0"/>
        </w:rPr>
        <w:pict w14:anchorId="5FDF4691">
          <v:rect id="_x0000_i1030" alt="" style="width:468pt;height:.05pt;mso-width-percent:0;mso-height-percent:0;mso-width-percent:0;mso-height-percent:0" o:hralign="center" o:hrstd="t" o:hr="t" fillcolor="#a0a0a0" stroked="f"/>
        </w:pict>
      </w:r>
    </w:p>
    <w:p w14:paraId="0F033941" w14:textId="77777777" w:rsidR="003E0B22" w:rsidRPr="003E0B22" w:rsidRDefault="003E0B22" w:rsidP="003E0B2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E0B22">
        <w:rPr>
          <w:rFonts w:ascii="Times New Roman" w:eastAsia="Times New Roman" w:hAnsi="Times New Roman" w:cs="Times New Roman"/>
          <w:b/>
          <w:bCs/>
          <w:color w:val="000000"/>
          <w:kern w:val="36"/>
          <w:sz w:val="48"/>
          <w:szCs w:val="48"/>
          <w14:ligatures w14:val="none"/>
        </w:rPr>
        <w:t>Conclusión historiográfica</w:t>
      </w:r>
    </w:p>
    <w:p w14:paraId="09B82066"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La prohibición de matar insectos no es un fenómeno marginal, sino un eje recurrente en religiones y filosofías que:</w:t>
      </w:r>
    </w:p>
    <w:p w14:paraId="77BF9BDA" w14:textId="77777777" w:rsidR="003E0B22" w:rsidRPr="003E0B22" w:rsidRDefault="003E0B22" w:rsidP="003E0B22">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b/>
          <w:bCs/>
          <w:color w:val="000000"/>
          <w:kern w:val="0"/>
          <w14:ligatures w14:val="none"/>
        </w:rPr>
        <w:t>Diluyen la jerarquía ontológica de los seres</w:t>
      </w:r>
      <w:r w:rsidRPr="003E0B22">
        <w:rPr>
          <w:rFonts w:ascii="Times New Roman" w:eastAsia="Times New Roman" w:hAnsi="Times New Roman" w:cs="Times New Roman"/>
          <w:color w:val="000000"/>
          <w:kern w:val="0"/>
          <w14:ligatures w14:val="none"/>
        </w:rPr>
        <w:t>,</w:t>
      </w:r>
    </w:p>
    <w:p w14:paraId="0CCB003F" w14:textId="77777777" w:rsidR="003E0B22" w:rsidRPr="003E0B22" w:rsidRDefault="003E0B22" w:rsidP="003E0B22">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b/>
          <w:bCs/>
          <w:color w:val="000000"/>
          <w:kern w:val="0"/>
          <w14:ligatures w14:val="none"/>
        </w:rPr>
        <w:t>Subrayan la unidad de la vida</w:t>
      </w:r>
      <w:r w:rsidRPr="003E0B22">
        <w:rPr>
          <w:rFonts w:ascii="Times New Roman" w:eastAsia="Times New Roman" w:hAnsi="Times New Roman" w:cs="Times New Roman"/>
          <w:color w:val="000000"/>
          <w:kern w:val="0"/>
          <w14:ligatures w14:val="none"/>
        </w:rPr>
        <w:t>,</w:t>
      </w:r>
    </w:p>
    <w:p w14:paraId="62D522B6" w14:textId="77777777" w:rsidR="003E0B22" w:rsidRPr="003E0B22" w:rsidRDefault="003E0B22" w:rsidP="003E0B22">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b/>
          <w:bCs/>
          <w:color w:val="000000"/>
          <w:kern w:val="0"/>
          <w14:ligatures w14:val="none"/>
        </w:rPr>
        <w:t>Imponen una ética radical de compasión</w:t>
      </w:r>
      <w:r w:rsidRPr="003E0B22">
        <w:rPr>
          <w:rFonts w:ascii="Times New Roman" w:eastAsia="Times New Roman" w:hAnsi="Times New Roman" w:cs="Times New Roman"/>
          <w:color w:val="000000"/>
          <w:kern w:val="0"/>
          <w14:ligatures w14:val="none"/>
        </w:rPr>
        <w:t>,</w:t>
      </w:r>
    </w:p>
    <w:p w14:paraId="25A1984E" w14:textId="77777777" w:rsidR="003E0B22" w:rsidRPr="003E0B22" w:rsidRDefault="003E0B22" w:rsidP="003E0B22">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b/>
          <w:bCs/>
          <w:color w:val="000000"/>
          <w:kern w:val="0"/>
          <w14:ligatures w14:val="none"/>
        </w:rPr>
        <w:t>Consideran que el universo está tejido por relaciones invisibles</w:t>
      </w:r>
      <w:r w:rsidRPr="003E0B22">
        <w:rPr>
          <w:rFonts w:ascii="Times New Roman" w:eastAsia="Times New Roman" w:hAnsi="Times New Roman" w:cs="Times New Roman"/>
          <w:color w:val="000000"/>
          <w:kern w:val="0"/>
          <w14:ligatures w14:val="none"/>
        </w:rPr>
        <w:t>,</w:t>
      </w:r>
    </w:p>
    <w:p w14:paraId="435CA94D" w14:textId="77777777" w:rsidR="003E0B22" w:rsidRPr="003E0B22" w:rsidRDefault="003E0B22" w:rsidP="003E0B22">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b/>
          <w:bCs/>
          <w:color w:val="000000"/>
          <w:kern w:val="0"/>
          <w14:ligatures w14:val="none"/>
        </w:rPr>
        <w:t>O comprenden el daño al más pequeño como daño a todo el orden cósmico</w:t>
      </w:r>
      <w:r w:rsidRPr="003E0B22">
        <w:rPr>
          <w:rFonts w:ascii="Times New Roman" w:eastAsia="Times New Roman" w:hAnsi="Times New Roman" w:cs="Times New Roman"/>
          <w:color w:val="000000"/>
          <w:kern w:val="0"/>
          <w14:ligatures w14:val="none"/>
        </w:rPr>
        <w:t>.</w:t>
      </w:r>
    </w:p>
    <w:p w14:paraId="54D7B4F4" w14:textId="77777777" w:rsidR="003E0B22" w:rsidRPr="003E0B22" w:rsidRDefault="003E0B22" w:rsidP="003E0B22">
      <w:pPr>
        <w:spacing w:before="100" w:beforeAutospacing="1" w:after="100" w:afterAutospacing="1" w:line="240" w:lineRule="auto"/>
        <w:rPr>
          <w:rFonts w:ascii="Times New Roman" w:eastAsia="Times New Roman" w:hAnsi="Times New Roman" w:cs="Times New Roman"/>
          <w:color w:val="000000"/>
          <w:kern w:val="0"/>
          <w14:ligatures w14:val="none"/>
        </w:rPr>
      </w:pPr>
      <w:r w:rsidRPr="003E0B22">
        <w:rPr>
          <w:rFonts w:ascii="Times New Roman" w:eastAsia="Times New Roman" w:hAnsi="Times New Roman" w:cs="Times New Roman"/>
          <w:color w:val="000000"/>
          <w:kern w:val="0"/>
          <w14:ligatures w14:val="none"/>
        </w:rPr>
        <w:t>Históricamente, el jainismo constituye el epicentro doctrinal más estricto, mientras que el budismo, el hinduismo y ciertas tradiciones griegas y cristianas desarrollan formas más flexibles o simbólicas de esta sensibilidad universalista. Las tradiciones animistas amplían la perspectiva al integrar insectos como actores cosmológicos. En la modernidad, la ética ecológica y animalista recupera esta intuición ancestral con nuevos fundamentos científicos y filosóficos.</w:t>
      </w:r>
    </w:p>
    <w:p w14:paraId="40FFE0B6" w14:textId="77777777" w:rsidR="00354789" w:rsidRDefault="00354789"/>
    <w:sectPr w:rsidR="00354789" w:rsidSect="00C44D93">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0CA7"/>
    <w:multiLevelType w:val="multilevel"/>
    <w:tmpl w:val="297A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C34CF"/>
    <w:multiLevelType w:val="multilevel"/>
    <w:tmpl w:val="5024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3621D"/>
    <w:multiLevelType w:val="multilevel"/>
    <w:tmpl w:val="760A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32E53"/>
    <w:multiLevelType w:val="multilevel"/>
    <w:tmpl w:val="E18E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1762F"/>
    <w:multiLevelType w:val="multilevel"/>
    <w:tmpl w:val="8F32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360EC"/>
    <w:multiLevelType w:val="multilevel"/>
    <w:tmpl w:val="2866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FE21B0"/>
    <w:multiLevelType w:val="multilevel"/>
    <w:tmpl w:val="06B4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A70E88"/>
    <w:multiLevelType w:val="multilevel"/>
    <w:tmpl w:val="773A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BC11BE"/>
    <w:multiLevelType w:val="multilevel"/>
    <w:tmpl w:val="B14C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D60262"/>
    <w:multiLevelType w:val="multilevel"/>
    <w:tmpl w:val="1034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8D3743"/>
    <w:multiLevelType w:val="multilevel"/>
    <w:tmpl w:val="8E062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3497892">
    <w:abstractNumId w:val="7"/>
  </w:num>
  <w:num w:numId="2" w16cid:durableId="69234442">
    <w:abstractNumId w:val="0"/>
  </w:num>
  <w:num w:numId="3" w16cid:durableId="1730835366">
    <w:abstractNumId w:val="4"/>
  </w:num>
  <w:num w:numId="4" w16cid:durableId="1677918317">
    <w:abstractNumId w:val="2"/>
  </w:num>
  <w:num w:numId="5" w16cid:durableId="1338580091">
    <w:abstractNumId w:val="3"/>
  </w:num>
  <w:num w:numId="6" w16cid:durableId="928273572">
    <w:abstractNumId w:val="9"/>
  </w:num>
  <w:num w:numId="7" w16cid:durableId="1933776618">
    <w:abstractNumId w:val="8"/>
  </w:num>
  <w:num w:numId="8" w16cid:durableId="417950416">
    <w:abstractNumId w:val="6"/>
  </w:num>
  <w:num w:numId="9" w16cid:durableId="2096436625">
    <w:abstractNumId w:val="1"/>
  </w:num>
  <w:num w:numId="10" w16cid:durableId="946695591">
    <w:abstractNumId w:val="5"/>
  </w:num>
  <w:num w:numId="11" w16cid:durableId="5592867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B22"/>
    <w:rsid w:val="00354789"/>
    <w:rsid w:val="003E0B22"/>
    <w:rsid w:val="00465DC1"/>
    <w:rsid w:val="00557598"/>
    <w:rsid w:val="0086667F"/>
    <w:rsid w:val="00A813F7"/>
    <w:rsid w:val="00A855DD"/>
    <w:rsid w:val="00C1618E"/>
    <w:rsid w:val="00C44D93"/>
    <w:rsid w:val="00F35BA8"/>
    <w:rsid w:val="00FF1215"/>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4DCEB"/>
  <w15:chartTrackingRefBased/>
  <w15:docId w15:val="{E4E1612F-7E9F-1541-9D10-FE15FA8D5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B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0B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0B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B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B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B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0B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0B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B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B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B22"/>
    <w:rPr>
      <w:rFonts w:eastAsiaTheme="majorEastAsia" w:cstheme="majorBidi"/>
      <w:color w:val="272727" w:themeColor="text1" w:themeTint="D8"/>
    </w:rPr>
  </w:style>
  <w:style w:type="paragraph" w:styleId="Title">
    <w:name w:val="Title"/>
    <w:basedOn w:val="Normal"/>
    <w:next w:val="Normal"/>
    <w:link w:val="TitleChar"/>
    <w:uiPriority w:val="10"/>
    <w:qFormat/>
    <w:rsid w:val="003E0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B22"/>
    <w:pPr>
      <w:spacing w:before="160"/>
      <w:jc w:val="center"/>
    </w:pPr>
    <w:rPr>
      <w:i/>
      <w:iCs/>
      <w:color w:val="404040" w:themeColor="text1" w:themeTint="BF"/>
    </w:rPr>
  </w:style>
  <w:style w:type="character" w:customStyle="1" w:styleId="QuoteChar">
    <w:name w:val="Quote Char"/>
    <w:basedOn w:val="DefaultParagraphFont"/>
    <w:link w:val="Quote"/>
    <w:uiPriority w:val="29"/>
    <w:rsid w:val="003E0B22"/>
    <w:rPr>
      <w:i/>
      <w:iCs/>
      <w:color w:val="404040" w:themeColor="text1" w:themeTint="BF"/>
    </w:rPr>
  </w:style>
  <w:style w:type="paragraph" w:styleId="ListParagraph">
    <w:name w:val="List Paragraph"/>
    <w:basedOn w:val="Normal"/>
    <w:uiPriority w:val="34"/>
    <w:qFormat/>
    <w:rsid w:val="003E0B22"/>
    <w:pPr>
      <w:ind w:left="720"/>
      <w:contextualSpacing/>
    </w:pPr>
  </w:style>
  <w:style w:type="character" w:styleId="IntenseEmphasis">
    <w:name w:val="Intense Emphasis"/>
    <w:basedOn w:val="DefaultParagraphFont"/>
    <w:uiPriority w:val="21"/>
    <w:qFormat/>
    <w:rsid w:val="003E0B22"/>
    <w:rPr>
      <w:i/>
      <w:iCs/>
      <w:color w:val="0F4761" w:themeColor="accent1" w:themeShade="BF"/>
    </w:rPr>
  </w:style>
  <w:style w:type="paragraph" w:styleId="IntenseQuote">
    <w:name w:val="Intense Quote"/>
    <w:basedOn w:val="Normal"/>
    <w:next w:val="Normal"/>
    <w:link w:val="IntenseQuoteChar"/>
    <w:uiPriority w:val="30"/>
    <w:qFormat/>
    <w:rsid w:val="003E0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B22"/>
    <w:rPr>
      <w:i/>
      <w:iCs/>
      <w:color w:val="0F4761" w:themeColor="accent1" w:themeShade="BF"/>
    </w:rPr>
  </w:style>
  <w:style w:type="character" w:styleId="IntenseReference">
    <w:name w:val="Intense Reference"/>
    <w:basedOn w:val="DefaultParagraphFont"/>
    <w:uiPriority w:val="32"/>
    <w:qFormat/>
    <w:rsid w:val="003E0B22"/>
    <w:rPr>
      <w:b/>
      <w:bCs/>
      <w:smallCaps/>
      <w:color w:val="0F4761" w:themeColor="accent1" w:themeShade="BF"/>
      <w:spacing w:val="5"/>
    </w:rPr>
  </w:style>
  <w:style w:type="character" w:styleId="Strong">
    <w:name w:val="Strong"/>
    <w:basedOn w:val="DefaultParagraphFont"/>
    <w:uiPriority w:val="22"/>
    <w:qFormat/>
    <w:rsid w:val="003E0B22"/>
    <w:rPr>
      <w:b/>
      <w:bCs/>
    </w:rPr>
  </w:style>
  <w:style w:type="paragraph" w:styleId="NormalWeb">
    <w:name w:val="Normal (Web)"/>
    <w:basedOn w:val="Normal"/>
    <w:uiPriority w:val="99"/>
    <w:semiHidden/>
    <w:unhideWhenUsed/>
    <w:rsid w:val="003E0B2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E0B22"/>
  </w:style>
  <w:style w:type="character" w:styleId="Emphasis">
    <w:name w:val="Emphasis"/>
    <w:basedOn w:val="DefaultParagraphFont"/>
    <w:uiPriority w:val="20"/>
    <w:qFormat/>
    <w:rsid w:val="003E0B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1353</Words>
  <Characters>7713</Characters>
  <Application>Microsoft Office Word</Application>
  <DocSecurity>0</DocSecurity>
  <Lines>64</Lines>
  <Paragraphs>18</Paragraphs>
  <ScaleCrop>false</ScaleCrop>
  <Company/>
  <LinksUpToDate>false</LinksUpToDate>
  <CharactersWithSpaces>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Tomás Ignacio Lavados Sepúlveda</dc:creator>
  <cp:keywords/>
  <dc:description/>
  <cp:lastModifiedBy>Tomás Ignacio Lavados Sepúlveda</cp:lastModifiedBy>
  <cp:revision>1</cp:revision>
  <dcterms:created xsi:type="dcterms:W3CDTF">2025-12-08T05:56:00Z</dcterms:created>
  <dcterms:modified xsi:type="dcterms:W3CDTF">2025-12-08T05:57:00Z</dcterms:modified>
</cp:coreProperties>
</file>