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F7DBE" w14:textId="2BD8A5BA" w:rsidR="0094082E" w:rsidRPr="0094082E" w:rsidRDefault="0094082E" w:rsidP="009408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82E">
        <w:rPr>
          <w:rFonts w:ascii="-webkit-standard" w:hAnsi="-webkit-standard"/>
          <w:b/>
          <w:bCs/>
          <w:color w:val="000000"/>
          <w:sz w:val="50"/>
          <w:szCs w:val="50"/>
        </w:rPr>
        <w:t>Celibato y Eudaimonía: La Vía de la Simplicidad Ego-Altruista</w:t>
      </w:r>
      <w:r>
        <w:rPr>
          <w:rFonts w:ascii="-webkit-standard" w:hAnsi="-webkit-standard"/>
          <w:color w:val="000000"/>
          <w:sz w:val="27"/>
          <w:szCs w:val="27"/>
        </w:rPr>
        <w:br/>
      </w:r>
      <w:r>
        <w:rPr>
          <w:rFonts w:ascii="-webkit-standard" w:hAnsi="-webkit-standard"/>
          <w:color w:val="000000"/>
          <w:sz w:val="27"/>
          <w:szCs w:val="27"/>
        </w:rPr>
        <w:br/>
      </w:r>
      <w:r w:rsidRPr="0094082E">
        <w:rPr>
          <w:rFonts w:ascii="Times New Roman" w:eastAsia="Times New Roman" w:hAnsi="Times New Roman" w:cs="Times New Roman"/>
          <w:b/>
          <w:bCs/>
          <w:kern w:val="0"/>
          <w:sz w:val="36"/>
          <w:szCs w:val="36"/>
          <w14:ligatures w14:val="none"/>
        </w:rPr>
        <w:t>Introducción — propósito y delimitación</w:t>
      </w:r>
    </w:p>
    <w:p w14:paraId="75D79B57"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El propósito de este ensayo ampliado es desarrollar, con la mayor extensión y complejidad posible, la idea de que el celibato puede constituir un camino deliberado hacia la </w:t>
      </w:r>
      <w:r w:rsidRPr="0094082E">
        <w:rPr>
          <w:rFonts w:ascii="Times New Roman" w:eastAsia="Times New Roman" w:hAnsi="Times New Roman" w:cs="Times New Roman"/>
          <w:b/>
          <w:bCs/>
          <w:kern w:val="0"/>
          <w14:ligatures w14:val="none"/>
        </w:rPr>
        <w:t>eudaimonía</w:t>
      </w:r>
      <w:r w:rsidRPr="0094082E">
        <w:rPr>
          <w:rFonts w:ascii="Times New Roman" w:eastAsia="Times New Roman" w:hAnsi="Times New Roman" w:cs="Times New Roman"/>
          <w:kern w:val="0"/>
          <w14:ligatures w14:val="none"/>
        </w:rPr>
        <w:t> (la felicidad entendida como plenitud o florecimiento humano), mediante la práctica de la simplicidad y la reducción intencional de la dimensión sensible de la vida. Esta forma de vida —que aquí denominaremos </w:t>
      </w:r>
      <w:r w:rsidRPr="0094082E">
        <w:rPr>
          <w:rFonts w:ascii="Times New Roman" w:eastAsia="Times New Roman" w:hAnsi="Times New Roman" w:cs="Times New Roman"/>
          <w:i/>
          <w:iCs/>
          <w:kern w:val="0"/>
          <w14:ligatures w14:val="none"/>
        </w:rPr>
        <w:t>celibato ego-altruista</w:t>
      </w:r>
      <w:r w:rsidRPr="0094082E">
        <w:rPr>
          <w:rFonts w:ascii="Times New Roman" w:eastAsia="Times New Roman" w:hAnsi="Times New Roman" w:cs="Times New Roman"/>
          <w:kern w:val="0"/>
          <w14:ligatures w14:val="none"/>
        </w:rPr>
        <w:t>— pretende organizar la existencia de modo que la serenidad individual favorezca simultáneamente los deberes y bienes sociales. No se trata de justificar dogmáticamente la castidad en todos los contextos, sino de explorar con detalle las razones metafísicas, éticas, psicológicas, sociales, históricas y prácticas que sostienen la coherencia de esta vía, sus variantes en distintas tradiciones y las objeciones principales junto con sus respuestas.</w:t>
      </w:r>
    </w:p>
    <w:p w14:paraId="6B6F5715"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Este ensayo se estructura en cinco grandes bloques: 1) fundamentación filosófica y telológica (eudaimonía); 2) filosofía moral y ética de la simplicidad; 3) historia comparada de prácticas de celibato; 4) dimensiones psicológicas, sociales y políticas; 5) críticas y respuestas. Finalmente, concluyo con una síntesis normativa y propuestas prácticas para quienes consideren este camino.</w:t>
      </w:r>
    </w:p>
    <w:p w14:paraId="296CB1D9" w14:textId="77777777" w:rsidR="0094082E" w:rsidRPr="0094082E" w:rsidRDefault="002C2417" w:rsidP="0094082E">
      <w:pPr>
        <w:spacing w:after="0" w:line="240" w:lineRule="auto"/>
        <w:rPr>
          <w:rFonts w:ascii="Times New Roman" w:eastAsia="Times New Roman" w:hAnsi="Times New Roman" w:cs="Times New Roman"/>
          <w:kern w:val="0"/>
          <w14:ligatures w14:val="none"/>
        </w:rPr>
      </w:pPr>
      <w:r w:rsidRPr="002C2417">
        <w:rPr>
          <w:rFonts w:ascii="Times New Roman" w:eastAsia="Times New Roman" w:hAnsi="Times New Roman" w:cs="Times New Roman"/>
          <w:noProof/>
          <w:kern w:val="0"/>
        </w:rPr>
        <w:pict w14:anchorId="15CCD7F3">
          <v:rect id="_x0000_i1033" alt="" style="width:468pt;height:.05pt;mso-width-percent:0;mso-height-percent:0;mso-width-percent:0;mso-height-percent:0" o:hralign="center" o:hrstd="t" o:hr="t" fillcolor="#a0a0a0" stroked="f"/>
        </w:pict>
      </w:r>
    </w:p>
    <w:p w14:paraId="49EF96FE" w14:textId="77777777" w:rsidR="0094082E" w:rsidRPr="0094082E" w:rsidRDefault="0094082E" w:rsidP="009408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82E">
        <w:rPr>
          <w:rFonts w:ascii="Times New Roman" w:eastAsia="Times New Roman" w:hAnsi="Times New Roman" w:cs="Times New Roman"/>
          <w:b/>
          <w:bCs/>
          <w:kern w:val="0"/>
          <w:sz w:val="36"/>
          <w:szCs w:val="36"/>
          <w14:ligatures w14:val="none"/>
        </w:rPr>
        <w:t>I. Fundamento telológico: la eudaimonía como fin del celibato</w:t>
      </w:r>
    </w:p>
    <w:p w14:paraId="07805ADB"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1.1. Qué entendemos por eudaimonía</w:t>
      </w:r>
    </w:p>
    <w:p w14:paraId="622A2919"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Eudaimonía —término griego clásico retomado por la tradición filosófica— no equivale a placer pasajero ni a mero bienestar subjetivo; designa el florecimiento humano, la realización de las potencialidades propias en una vida ordenada por la virtud y la razón. Aristóteles articula la eudaimonía como actividad del alma conforme a la virtud; el telos último de la vida humana consiste en vivir bien y obrar bien, de forma sostenida y reflexiva.</w:t>
      </w:r>
    </w:p>
    <w:p w14:paraId="06777E00"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1.2. Eudaimonía y reducción de la dimensión sensible: coherencia finalista</w:t>
      </w:r>
    </w:p>
    <w:p w14:paraId="31297847"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La tesis central que aquí se defiende es la siguiente: cuando la vida sensible (entendida como la economía de deseos, apegos, pulsiones y búsquedas afectivas principalmente orientadas al contacto erótico y posesivo) ocupa un espacio desproporcionado, dispersa la atención, erosiona la capacidad deliberativa y disminuye la consistencia virtuosa. El celibato, concebido como disciplina voluntaria, es una práctica instrumental que tiende a redistribuir la energía psíquica y temporal hacia actividades que promueven la </w:t>
      </w:r>
      <w:r w:rsidRPr="0094082E">
        <w:rPr>
          <w:rFonts w:ascii="Times New Roman" w:eastAsia="Times New Roman" w:hAnsi="Times New Roman" w:cs="Times New Roman"/>
          <w:i/>
          <w:iCs/>
          <w:kern w:val="0"/>
          <w14:ligatures w14:val="none"/>
        </w:rPr>
        <w:t>areté</w:t>
      </w:r>
      <w:r w:rsidRPr="0094082E">
        <w:rPr>
          <w:rFonts w:ascii="Times New Roman" w:eastAsia="Times New Roman" w:hAnsi="Times New Roman" w:cs="Times New Roman"/>
          <w:kern w:val="0"/>
          <w14:ligatures w14:val="none"/>
        </w:rPr>
        <w:t> (virtud) y, por tanto, la eudaimonía.</w:t>
      </w:r>
    </w:p>
    <w:p w14:paraId="1EF81110"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lastRenderedPageBreak/>
        <w:t>1.3. Diferencias con teorías hedonistas y utilitaristas</w:t>
      </w:r>
    </w:p>
    <w:p w14:paraId="2DB3616A"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Contra una lectura hedonista, el celibato no renuncia al placer como categoría moral relevante, sino que prioriza placeres más estables (contemplación, amistad desinteresada, trabajo creativo, servicio) sobre placeres intensos pero transitorios que generan dependencia. Contra una lectura utilitarista que solo suma utilidades agregadas, el enfoque eudaimónico exige cualificaciones: no toda suma de placeres aumenta la buena vida si fragmenta la unidad del agente o compromete su integridad moral.</w:t>
      </w:r>
    </w:p>
    <w:p w14:paraId="55ACE7BD" w14:textId="77777777" w:rsidR="0094082E" w:rsidRPr="0094082E" w:rsidRDefault="002C2417" w:rsidP="0094082E">
      <w:pPr>
        <w:spacing w:after="0" w:line="240" w:lineRule="auto"/>
        <w:rPr>
          <w:rFonts w:ascii="Times New Roman" w:eastAsia="Times New Roman" w:hAnsi="Times New Roman" w:cs="Times New Roman"/>
          <w:kern w:val="0"/>
          <w14:ligatures w14:val="none"/>
        </w:rPr>
      </w:pPr>
      <w:r w:rsidRPr="002C2417">
        <w:rPr>
          <w:rFonts w:ascii="Times New Roman" w:eastAsia="Times New Roman" w:hAnsi="Times New Roman" w:cs="Times New Roman"/>
          <w:noProof/>
          <w:kern w:val="0"/>
        </w:rPr>
        <w:pict w14:anchorId="2DC5E47C">
          <v:rect id="_x0000_i1032" alt="" style="width:468pt;height:.05pt;mso-width-percent:0;mso-height-percent:0;mso-width-percent:0;mso-height-percent:0" o:hralign="center" o:hrstd="t" o:hr="t" fillcolor="#a0a0a0" stroked="f"/>
        </w:pict>
      </w:r>
    </w:p>
    <w:p w14:paraId="65431B65" w14:textId="77777777" w:rsidR="0094082E" w:rsidRPr="0094082E" w:rsidRDefault="0094082E" w:rsidP="009408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82E">
        <w:rPr>
          <w:rFonts w:ascii="Times New Roman" w:eastAsia="Times New Roman" w:hAnsi="Times New Roman" w:cs="Times New Roman"/>
          <w:b/>
          <w:bCs/>
          <w:kern w:val="0"/>
          <w:sz w:val="36"/>
          <w:szCs w:val="36"/>
          <w14:ligatures w14:val="none"/>
        </w:rPr>
        <w:t>II. Filosofía moral: simplicidad, autodominio y armonía ego-altruista</w:t>
      </w:r>
    </w:p>
    <w:p w14:paraId="5A7ED472"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2.1. La virtud de la simplicidad</w:t>
      </w:r>
    </w:p>
    <w:p w14:paraId="4EA902B0"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La simplicidad es aquí una virtud práctica: consistencia en la reducción de deseos, claridad de fines, economía de medios y austeridad elegida como estilo de vida. No se entiende como mera carencia, sino como capacidad para mantener lo suficiente y orientar la vida hacia bienes duraderos. La simplicidad es doblemente ética: preserva la integridad del sujeto y facilita la justicia en las relaciones sociales al reducir la carga de demandas afectivas.</w:t>
      </w:r>
    </w:p>
    <w:p w14:paraId="44D8FBA5"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2.2. Autodominio y gobierno de las pasiones</w:t>
      </w:r>
    </w:p>
    <w:p w14:paraId="533ABD62"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El autodominio clásico (sophrosyne griega, apatheia de los Padres del Desierto, </w:t>
      </w:r>
      <w:r w:rsidRPr="0094082E">
        <w:rPr>
          <w:rFonts w:ascii="Times New Roman" w:eastAsia="Times New Roman" w:hAnsi="Times New Roman" w:cs="Times New Roman"/>
          <w:i/>
          <w:iCs/>
          <w:kern w:val="0"/>
          <w14:ligatures w14:val="none"/>
        </w:rPr>
        <w:t>vairagya</w:t>
      </w:r>
      <w:r w:rsidRPr="0094082E">
        <w:rPr>
          <w:rFonts w:ascii="Times New Roman" w:eastAsia="Times New Roman" w:hAnsi="Times New Roman" w:cs="Times New Roman"/>
          <w:kern w:val="0"/>
          <w14:ligatures w14:val="none"/>
        </w:rPr>
        <w:t> en la India) es clave para la vida virtuosa. El celibato opera como disciplina de autodominio que, practicada con inteligencia, aumenta la autonomía del agente frente a las pasiones. Esta autonomía no se vuelve egotista cuando se integra en una concepción ego-altruista: la serenidad personal se convierte en recurso para el servicio.</w:t>
      </w:r>
    </w:p>
    <w:p w14:paraId="0F804DA5"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2.3. Ego-altruismo: síntesis coherente</w:t>
      </w:r>
    </w:p>
    <w:p w14:paraId="482F5BC7"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Defino </w:t>
      </w:r>
      <w:r w:rsidRPr="0094082E">
        <w:rPr>
          <w:rFonts w:ascii="Times New Roman" w:eastAsia="Times New Roman" w:hAnsi="Times New Roman" w:cs="Times New Roman"/>
          <w:i/>
          <w:iCs/>
          <w:kern w:val="0"/>
          <w14:ligatures w14:val="none"/>
        </w:rPr>
        <w:t>ego-altruismo</w:t>
      </w:r>
      <w:r w:rsidRPr="0094082E">
        <w:rPr>
          <w:rFonts w:ascii="Times New Roman" w:eastAsia="Times New Roman" w:hAnsi="Times New Roman" w:cs="Times New Roman"/>
          <w:kern w:val="0"/>
          <w14:ligatures w14:val="none"/>
        </w:rPr>
        <w:t> como la postura moral según la cual la búsqueda deliberada de la propia paz y florecimiento —cuando es racional y virtuosa— produce beneficios sociales significativos y sostenibles. El celibato ego-altruista es la práctica donde el individuo cultiva su eudaimonía de modo que su estabilidad interior resulta en mayor imparcialidad, disponibilidad y equidad en la vida comunitaria.</w:t>
      </w:r>
    </w:p>
    <w:p w14:paraId="5BE0BAE8"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2.4. Equilibrio entre necesidad biológica y elección ética</w:t>
      </w:r>
    </w:p>
    <w:p w14:paraId="576F3969"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Una objeción crucial es que el celibato niega necesidades biológicas naturales. La respuesta ética sostiene que la vida humana está constituida por pluralidad de dimensiones: biológica, racional, emocional, social, espiritual. La ética práctica hace elecciones sobre la jerarquía de valores; elegir la contención sexual no es negar la biología sino reconfigurar su papel en una vida con fines más altos.</w:t>
      </w:r>
    </w:p>
    <w:p w14:paraId="60FA56E5" w14:textId="77777777" w:rsidR="0094082E" w:rsidRPr="0094082E" w:rsidRDefault="002C2417" w:rsidP="0094082E">
      <w:pPr>
        <w:spacing w:after="0" w:line="240" w:lineRule="auto"/>
        <w:rPr>
          <w:rFonts w:ascii="Times New Roman" w:eastAsia="Times New Roman" w:hAnsi="Times New Roman" w:cs="Times New Roman"/>
          <w:kern w:val="0"/>
          <w14:ligatures w14:val="none"/>
        </w:rPr>
      </w:pPr>
      <w:r w:rsidRPr="002C2417">
        <w:rPr>
          <w:rFonts w:ascii="Times New Roman" w:eastAsia="Times New Roman" w:hAnsi="Times New Roman" w:cs="Times New Roman"/>
          <w:noProof/>
          <w:kern w:val="0"/>
        </w:rPr>
        <w:lastRenderedPageBreak/>
        <w:pict w14:anchorId="4E0055ED">
          <v:rect id="_x0000_i1031" alt="" style="width:468pt;height:.05pt;mso-width-percent:0;mso-height-percent:0;mso-width-percent:0;mso-height-percent:0" o:hralign="center" o:hrstd="t" o:hr="t" fillcolor="#a0a0a0" stroked="f"/>
        </w:pict>
      </w:r>
    </w:p>
    <w:p w14:paraId="7EE482A7" w14:textId="77777777" w:rsidR="0094082E" w:rsidRPr="0094082E" w:rsidRDefault="0094082E" w:rsidP="009408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82E">
        <w:rPr>
          <w:rFonts w:ascii="Times New Roman" w:eastAsia="Times New Roman" w:hAnsi="Times New Roman" w:cs="Times New Roman"/>
          <w:b/>
          <w:bCs/>
          <w:kern w:val="0"/>
          <w:sz w:val="36"/>
          <w:szCs w:val="36"/>
          <w14:ligatures w14:val="none"/>
        </w:rPr>
        <w:t>III. Historia comparada: célebres arquitecturas del celibato</w:t>
      </w:r>
    </w:p>
    <w:p w14:paraId="1F753D5A"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3.1. India clásica: brahmacharya, jñāna y liberación</w:t>
      </w:r>
    </w:p>
    <w:p w14:paraId="6FBF62C2"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En las tradiciones védicas y del reculamiento ascético (jainismo, budismo), la continencia se liga a la conservación de </w:t>
      </w:r>
      <w:r w:rsidRPr="0094082E">
        <w:rPr>
          <w:rFonts w:ascii="Times New Roman" w:eastAsia="Times New Roman" w:hAnsi="Times New Roman" w:cs="Times New Roman"/>
          <w:i/>
          <w:iCs/>
          <w:kern w:val="0"/>
          <w14:ligatures w14:val="none"/>
        </w:rPr>
        <w:t>ojas</w:t>
      </w:r>
      <w:r w:rsidRPr="0094082E">
        <w:rPr>
          <w:rFonts w:ascii="Times New Roman" w:eastAsia="Times New Roman" w:hAnsi="Times New Roman" w:cs="Times New Roman"/>
          <w:kern w:val="0"/>
          <w14:ligatures w14:val="none"/>
        </w:rPr>
        <w:t> o fuerza espiritual. El brahmacharya es disciplina preparatoria para la vida contemplativa y para la adquisición de conocimiento liberador.</w:t>
      </w:r>
    </w:p>
    <w:p w14:paraId="1C3CAE1B"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3.2. China y Japón: taoísmo y zen</w:t>
      </w:r>
    </w:p>
    <w:p w14:paraId="5EEFFE6D"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En el taoísmo, preservar la esencia vital (</w:t>
      </w:r>
      <w:r w:rsidRPr="0094082E">
        <w:rPr>
          <w:rFonts w:ascii="Times New Roman" w:eastAsia="Times New Roman" w:hAnsi="Times New Roman" w:cs="Times New Roman"/>
          <w:i/>
          <w:iCs/>
          <w:kern w:val="0"/>
          <w14:ligatures w14:val="none"/>
        </w:rPr>
        <w:t>jing</w:t>
      </w:r>
      <w:r w:rsidRPr="0094082E">
        <w:rPr>
          <w:rFonts w:ascii="Times New Roman" w:eastAsia="Times New Roman" w:hAnsi="Times New Roman" w:cs="Times New Roman"/>
          <w:kern w:val="0"/>
          <w14:ligatures w14:val="none"/>
        </w:rPr>
        <w:t>) favorece la longevidad y la claridad; en el zen, la castidad monástica facilita el silencio y la no dispersión del </w:t>
      </w:r>
      <w:r w:rsidRPr="0094082E">
        <w:rPr>
          <w:rFonts w:ascii="Times New Roman" w:eastAsia="Times New Roman" w:hAnsi="Times New Roman" w:cs="Times New Roman"/>
          <w:i/>
          <w:iCs/>
          <w:kern w:val="0"/>
          <w14:ligatures w14:val="none"/>
        </w:rPr>
        <w:t>zanshin</w:t>
      </w:r>
      <w:r w:rsidRPr="0094082E">
        <w:rPr>
          <w:rFonts w:ascii="Times New Roman" w:eastAsia="Times New Roman" w:hAnsi="Times New Roman" w:cs="Times New Roman"/>
          <w:kern w:val="0"/>
          <w14:ligatures w14:val="none"/>
        </w:rPr>
        <w:t>, permitiendo la práctica sostenida de </w:t>
      </w:r>
      <w:r w:rsidRPr="0094082E">
        <w:rPr>
          <w:rFonts w:ascii="Times New Roman" w:eastAsia="Times New Roman" w:hAnsi="Times New Roman" w:cs="Times New Roman"/>
          <w:i/>
          <w:iCs/>
          <w:kern w:val="0"/>
          <w14:ligatures w14:val="none"/>
        </w:rPr>
        <w:t>zazen</w:t>
      </w:r>
      <w:r w:rsidRPr="0094082E">
        <w:rPr>
          <w:rFonts w:ascii="Times New Roman" w:eastAsia="Times New Roman" w:hAnsi="Times New Roman" w:cs="Times New Roman"/>
          <w:kern w:val="0"/>
          <w14:ligatures w14:val="none"/>
        </w:rPr>
        <w:t> y la realización directa.</w:t>
      </w:r>
    </w:p>
    <w:p w14:paraId="3800736A"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3.3. Grecia: pitagóricos, estoicos y cínicos</w:t>
      </w:r>
    </w:p>
    <w:p w14:paraId="04587EDB"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Para Pitágoras, la pureza conducía a la armonía del alma; los estoicos defendieron la emancipación del juicio frente a las pasiones; los cínicos, mediante la provocación, exhibieron la posibilidad de una vida mínima y despojada de deseos sociales convencionales.</w:t>
      </w:r>
    </w:p>
    <w:p w14:paraId="520746C3"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3.4. Cristianismo: de los Padres del Desierto al monaquismo institucional</w:t>
      </w:r>
    </w:p>
    <w:p w14:paraId="7C32914F"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El monaquismo (António el Grande, Basilio, Benito) y la reforma del sacerdocio occidental transformaron la castidad en regla institucional. La motivación varió: unión esponsal con lo divino, disponibilidad total para el servicio, medio para alcanzar la imperturbabilidad del alma (</w:t>
      </w:r>
      <w:r w:rsidRPr="0094082E">
        <w:rPr>
          <w:rFonts w:ascii="Times New Roman" w:eastAsia="Times New Roman" w:hAnsi="Times New Roman" w:cs="Times New Roman"/>
          <w:i/>
          <w:iCs/>
          <w:kern w:val="0"/>
          <w14:ligatures w14:val="none"/>
        </w:rPr>
        <w:t>apatheia</w:t>
      </w:r>
      <w:r w:rsidRPr="0094082E">
        <w:rPr>
          <w:rFonts w:ascii="Times New Roman" w:eastAsia="Times New Roman" w:hAnsi="Times New Roman" w:cs="Times New Roman"/>
          <w:kern w:val="0"/>
          <w14:ligatures w14:val="none"/>
        </w:rPr>
        <w:t>).</w:t>
      </w:r>
    </w:p>
    <w:p w14:paraId="3AFD882C"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3.5. Judaísmo: esenios y excepciones rituales</w:t>
      </w:r>
    </w:p>
    <w:p w14:paraId="2B5DDF38"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Aunque el judaísmo clásico valora la posteridad, ciertos grupos separatistas practicaron formas de continencia para la pureza ritual y la dedicación comunitaria.</w:t>
      </w:r>
    </w:p>
    <w:p w14:paraId="4B493C03"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3.6. Islam y sufismo: renuncias selectivas</w:t>
      </w:r>
    </w:p>
    <w:p w14:paraId="539022AB"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En el sufismo, algunos maestros prefirieron la soledad y la abstinencia para intensificar la </w:t>
      </w:r>
      <w:r w:rsidRPr="0094082E">
        <w:rPr>
          <w:rFonts w:ascii="Times New Roman" w:eastAsia="Times New Roman" w:hAnsi="Times New Roman" w:cs="Times New Roman"/>
          <w:i/>
          <w:iCs/>
          <w:kern w:val="0"/>
          <w14:ligatures w14:val="none"/>
        </w:rPr>
        <w:t>zikr</w:t>
      </w:r>
      <w:r w:rsidRPr="0094082E">
        <w:rPr>
          <w:rFonts w:ascii="Times New Roman" w:eastAsia="Times New Roman" w:hAnsi="Times New Roman" w:cs="Times New Roman"/>
          <w:kern w:val="0"/>
          <w14:ligatures w14:val="none"/>
        </w:rPr>
        <w:t>, la entrega mística y la claridad de intención.</w:t>
      </w:r>
    </w:p>
    <w:p w14:paraId="5B8EE352"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3.7. Tradiciones indígenas y chamánicas</w:t>
      </w:r>
    </w:p>
    <w:p w14:paraId="13B39B88"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En varias tradiciones amerindias y africanas, la abstinencia ritual prepara a chamanes y contribuidores espirituales para la visión, el rito y la mediación comunitaria.</w:t>
      </w:r>
    </w:p>
    <w:p w14:paraId="6C62629B"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3.8. Modernidad: celibato secular y formas contemporáneas</w:t>
      </w:r>
    </w:p>
    <w:p w14:paraId="156DC8FA"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lastRenderedPageBreak/>
        <w:t>En la modernidad, el celibato toma nuevas formas: célibes laicos, intelectuales que optan por la vida sin pareja, activistas y dedicados profesionales que priorizan tiempo y energía para proyectos colectivos. Estas variantes secularizadas muestran que la práctica puede desligarse de la ortodoxia religiosa y conservar una función telólogica semejante.</w:t>
      </w:r>
    </w:p>
    <w:p w14:paraId="2FC3CB41" w14:textId="77777777" w:rsidR="0094082E" w:rsidRPr="0094082E" w:rsidRDefault="002C2417" w:rsidP="0094082E">
      <w:pPr>
        <w:spacing w:after="0" w:line="240" w:lineRule="auto"/>
        <w:rPr>
          <w:rFonts w:ascii="Times New Roman" w:eastAsia="Times New Roman" w:hAnsi="Times New Roman" w:cs="Times New Roman"/>
          <w:kern w:val="0"/>
          <w14:ligatures w14:val="none"/>
        </w:rPr>
      </w:pPr>
      <w:r w:rsidRPr="002C2417">
        <w:rPr>
          <w:rFonts w:ascii="Times New Roman" w:eastAsia="Times New Roman" w:hAnsi="Times New Roman" w:cs="Times New Roman"/>
          <w:noProof/>
          <w:kern w:val="0"/>
        </w:rPr>
        <w:pict w14:anchorId="4B34FC21">
          <v:rect id="_x0000_i1030" alt="" style="width:468pt;height:.05pt;mso-width-percent:0;mso-height-percent:0;mso-width-percent:0;mso-height-percent:0" o:hralign="center" o:hrstd="t" o:hr="t" fillcolor="#a0a0a0" stroked="f"/>
        </w:pict>
      </w:r>
    </w:p>
    <w:p w14:paraId="05594B71" w14:textId="77777777" w:rsidR="0094082E" w:rsidRPr="0094082E" w:rsidRDefault="0094082E" w:rsidP="009408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82E">
        <w:rPr>
          <w:rFonts w:ascii="Times New Roman" w:eastAsia="Times New Roman" w:hAnsi="Times New Roman" w:cs="Times New Roman"/>
          <w:b/>
          <w:bCs/>
          <w:kern w:val="0"/>
          <w:sz w:val="36"/>
          <w:szCs w:val="36"/>
          <w14:ligatures w14:val="none"/>
        </w:rPr>
        <w:t>IV. Psicología, neurociencia y sociología: efectos y mecanismos</w:t>
      </w:r>
    </w:p>
    <w:p w14:paraId="4DAFE4D3"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4.1. Efectos psicológicos de la continencia sostenida</w:t>
      </w:r>
    </w:p>
    <w:p w14:paraId="6FEA4406"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Diversos efectos son esperables (y descritos en la literatura clínica y fenomenológica): mayor estabilidad afectiva para algunos agentes, incremento de la concentración, reorientación del afecto hacia formas no eróticas de intimidad (amistad profunda, afecto comunitario), y —en casos— sentimientos de aislamiento si la práctica no se inscribe en comunidad o propósito. El factor claro es la </w:t>
      </w:r>
      <w:r w:rsidRPr="0094082E">
        <w:rPr>
          <w:rFonts w:ascii="Times New Roman" w:eastAsia="Times New Roman" w:hAnsi="Times New Roman" w:cs="Times New Roman"/>
          <w:i/>
          <w:iCs/>
          <w:kern w:val="0"/>
          <w14:ligatures w14:val="none"/>
        </w:rPr>
        <w:t>intencionalidad</w:t>
      </w:r>
      <w:r w:rsidRPr="0094082E">
        <w:rPr>
          <w:rFonts w:ascii="Times New Roman" w:eastAsia="Times New Roman" w:hAnsi="Times New Roman" w:cs="Times New Roman"/>
          <w:kern w:val="0"/>
          <w14:ligatures w14:val="none"/>
        </w:rPr>
        <w:t>; la continencia impuesta o internalizada de forma patológica produce daños; la continencia libremente elegida y estructurada en redes de apoyo produce beneficios.</w:t>
      </w:r>
    </w:p>
    <w:p w14:paraId="09407E10"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4.2. Neurobiología (apuntes generales)</w:t>
      </w:r>
    </w:p>
    <w:p w14:paraId="0A30E43D"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La restricción deliberada de estímulos eróticos reduce la activación repetida de circuitos de recompensa dopaminérgicos orientados a la gratificación inmediata y puede, con el tiempo, permitir una mayor sensibilidad para recompensas no hedónicas (compromiso social, logro creativo). Esto no implica supresión absoluta de la sexualidad sino regulación atencional y revalorización de otros reforzadores.</w:t>
      </w:r>
    </w:p>
    <w:p w14:paraId="10B0A306"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4.3. Dinámicas sociales y políticas</w:t>
      </w:r>
    </w:p>
    <w:p w14:paraId="636ACCC2"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A nivel comunitario, la presencia de individuos célibes dedicados a funciones públicas (maestros, médicos, jueces, sacerdotes, investigadores) ha producido históricamente instituciones con normas de neutralidad afectiva que, bien reguladas, aumentan la confianza pública. Sin embargo, la mala gestión institucional del celibato (por ejemplo, cuando produce represión sexual) puede generar abusos —por eso la ética institucional y la supervisión son ineludibles.</w:t>
      </w:r>
    </w:p>
    <w:p w14:paraId="133E156E"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4.4. Economía del tiempo y recursos</w:t>
      </w:r>
    </w:p>
    <w:p w14:paraId="4FC8E677"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El celibato libera tiempo y recursos (económicos y emocionales) que pueden invertirse en tareas de largo plazo, cuidado comunitario, investigación, enseñanza y servicio. Esta redistribución contribuye al bien común cuando existe propósito orientador y transparencia en los motivos.</w:t>
      </w:r>
    </w:p>
    <w:p w14:paraId="693E4456" w14:textId="77777777" w:rsidR="0094082E" w:rsidRPr="0094082E" w:rsidRDefault="002C2417" w:rsidP="0094082E">
      <w:pPr>
        <w:spacing w:after="0" w:line="240" w:lineRule="auto"/>
        <w:rPr>
          <w:rFonts w:ascii="Times New Roman" w:eastAsia="Times New Roman" w:hAnsi="Times New Roman" w:cs="Times New Roman"/>
          <w:kern w:val="0"/>
          <w14:ligatures w14:val="none"/>
        </w:rPr>
      </w:pPr>
      <w:r w:rsidRPr="002C2417">
        <w:rPr>
          <w:rFonts w:ascii="Times New Roman" w:eastAsia="Times New Roman" w:hAnsi="Times New Roman" w:cs="Times New Roman"/>
          <w:noProof/>
          <w:kern w:val="0"/>
        </w:rPr>
        <w:pict w14:anchorId="0B371DB3">
          <v:rect id="_x0000_i1029" alt="" style="width:468pt;height:.05pt;mso-width-percent:0;mso-height-percent:0;mso-width-percent:0;mso-height-percent:0" o:hralign="center" o:hrstd="t" o:hr="t" fillcolor="#a0a0a0" stroked="f"/>
        </w:pict>
      </w:r>
    </w:p>
    <w:p w14:paraId="14D080AB" w14:textId="77777777" w:rsidR="0094082E" w:rsidRPr="0094082E" w:rsidRDefault="0094082E" w:rsidP="009408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82E">
        <w:rPr>
          <w:rFonts w:ascii="Times New Roman" w:eastAsia="Times New Roman" w:hAnsi="Times New Roman" w:cs="Times New Roman"/>
          <w:b/>
          <w:bCs/>
          <w:kern w:val="0"/>
          <w:sz w:val="36"/>
          <w:szCs w:val="36"/>
          <w14:ligatures w14:val="none"/>
        </w:rPr>
        <w:lastRenderedPageBreak/>
        <w:t>V. Objeciones, peligros y condiciones de legitimidad</w:t>
      </w:r>
    </w:p>
    <w:p w14:paraId="1DE4E967"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5.1. Objeción: el celibato es anti-natural</w:t>
      </w:r>
    </w:p>
    <w:p w14:paraId="71DAE09E"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Respuesta: la acción ética humana no suprime lo natural sino que lo encamina; la vida humana está estructurada por múltiples naturalezas (biológica, racional, simbólica) y la virtud consiste en ordenarlas.</w:t>
      </w:r>
    </w:p>
    <w:p w14:paraId="74E8032F"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5.2. Objeción: riesgo de represión y patología</w:t>
      </w:r>
    </w:p>
    <w:p w14:paraId="03CF1099"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Respuesta: riesgo real si la práctica se impone sin libertad ni acompañamiento. La legitimidad del celibato exige consentimiento, formación psicológica y comunitaria, y canales de expresión afectiva no sexual.</w:t>
      </w:r>
    </w:p>
    <w:p w14:paraId="39BC6E10"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5.3. Objeción feminista: instrumentalización y asimetría</w:t>
      </w:r>
    </w:p>
    <w:p w14:paraId="0CD7234C"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Respuesta: la institución del celibato ha sido históricamente usada para excluir o controlar sexualidades; pero la propuesta ego-altruista que aquí se defiende no requiere asimetrías de género ni jerarquías opresivas: su práctica debe promover igualdad, responsabilidad y transparencia.</w:t>
      </w:r>
    </w:p>
    <w:p w14:paraId="3471D907"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5.4. Objeción comunal: eros y creatividad social</w:t>
      </w:r>
    </w:p>
    <w:p w14:paraId="0E9FA0C9"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Respuesta: el eros no es sustituible ni innecesario para la creatividad social; el argumento del celibato no pretende erradicar el eros social, sino limitar su dominio en ciertos ámbitos para permitir otras formas de creatividad y servicio.</w:t>
      </w:r>
    </w:p>
    <w:p w14:paraId="1CE7FE30"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5.5. Condiciones de legitimidad para una práctica sana</w:t>
      </w:r>
    </w:p>
    <w:p w14:paraId="0B0F2FA3" w14:textId="77777777" w:rsidR="0094082E" w:rsidRPr="0094082E" w:rsidRDefault="0094082E" w:rsidP="009408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elección libre y educada;</w:t>
      </w:r>
    </w:p>
    <w:p w14:paraId="60A33C88" w14:textId="77777777" w:rsidR="0094082E" w:rsidRPr="0094082E" w:rsidRDefault="0094082E" w:rsidP="009408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marco comunitario de apoyo;</w:t>
      </w:r>
    </w:p>
    <w:p w14:paraId="71560FB6" w14:textId="77777777" w:rsidR="0094082E" w:rsidRPr="0094082E" w:rsidRDefault="0094082E" w:rsidP="009408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canales de intimidad no sexuales (amistad, fraternidad, mentores);</w:t>
      </w:r>
    </w:p>
    <w:p w14:paraId="0DA59EF3" w14:textId="77777777" w:rsidR="0094082E" w:rsidRPr="0094082E" w:rsidRDefault="0094082E" w:rsidP="009408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supervisión ética institucional;</w:t>
      </w:r>
    </w:p>
    <w:p w14:paraId="25CF7E0F" w14:textId="77777777" w:rsidR="0094082E" w:rsidRPr="0094082E" w:rsidRDefault="0094082E" w:rsidP="009408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integración de la sexualidad en una biografía más amplia (no negación total ni remisión permanente a la represión).</w:t>
      </w:r>
    </w:p>
    <w:p w14:paraId="2423DE9E" w14:textId="77777777" w:rsidR="0094082E" w:rsidRPr="0094082E" w:rsidRDefault="002C2417" w:rsidP="0094082E">
      <w:pPr>
        <w:spacing w:after="0" w:line="240" w:lineRule="auto"/>
        <w:rPr>
          <w:rFonts w:ascii="Times New Roman" w:eastAsia="Times New Roman" w:hAnsi="Times New Roman" w:cs="Times New Roman"/>
          <w:kern w:val="0"/>
          <w14:ligatures w14:val="none"/>
        </w:rPr>
      </w:pPr>
      <w:r w:rsidRPr="002C2417">
        <w:rPr>
          <w:rFonts w:ascii="Times New Roman" w:eastAsia="Times New Roman" w:hAnsi="Times New Roman" w:cs="Times New Roman"/>
          <w:noProof/>
          <w:kern w:val="0"/>
        </w:rPr>
        <w:pict w14:anchorId="5A5C25EB">
          <v:rect id="_x0000_i1028" alt="" style="width:468pt;height:.05pt;mso-width-percent:0;mso-height-percent:0;mso-width-percent:0;mso-height-percent:0" o:hralign="center" o:hrstd="t" o:hr="t" fillcolor="#a0a0a0" stroked="f"/>
        </w:pict>
      </w:r>
    </w:p>
    <w:p w14:paraId="0F200CB9" w14:textId="77777777" w:rsidR="0094082E" w:rsidRPr="0094082E" w:rsidRDefault="0094082E" w:rsidP="009408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82E">
        <w:rPr>
          <w:rFonts w:ascii="Times New Roman" w:eastAsia="Times New Roman" w:hAnsi="Times New Roman" w:cs="Times New Roman"/>
          <w:b/>
          <w:bCs/>
          <w:kern w:val="0"/>
          <w:sz w:val="36"/>
          <w:szCs w:val="36"/>
          <w14:ligatures w14:val="none"/>
        </w:rPr>
        <w:t>VI. Práctica, reglas y pedagogía del celibato ego-altruista</w:t>
      </w:r>
    </w:p>
    <w:p w14:paraId="5B94C6F5"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6.1. Disciplina práctica</w:t>
      </w:r>
    </w:p>
    <w:p w14:paraId="75A19638" w14:textId="77777777" w:rsidR="0094082E" w:rsidRPr="0094082E" w:rsidRDefault="0094082E" w:rsidP="009408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establecer fines claros (qué bienes personales y comunitarios se persiguen);</w:t>
      </w:r>
    </w:p>
    <w:p w14:paraId="530CCDCA" w14:textId="77777777" w:rsidR="0094082E" w:rsidRPr="0094082E" w:rsidRDefault="0094082E" w:rsidP="009408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pactos de autocuidado (sueño, nutrición, ejercicio);</w:t>
      </w:r>
    </w:p>
    <w:p w14:paraId="2D3FAA5B" w14:textId="77777777" w:rsidR="0094082E" w:rsidRPr="0094082E" w:rsidRDefault="0094082E" w:rsidP="009408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prácticas contemplativas (meditación, oración, lectura concentrada);</w:t>
      </w:r>
    </w:p>
    <w:p w14:paraId="7E773514" w14:textId="77777777" w:rsidR="0094082E" w:rsidRPr="0094082E" w:rsidRDefault="0094082E" w:rsidP="009408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lastRenderedPageBreak/>
        <w:t>compromiso social sin posesividad (servicio, enseñanza, trabajo comunitario);</w:t>
      </w:r>
    </w:p>
    <w:p w14:paraId="3E3C402B" w14:textId="77777777" w:rsidR="0094082E" w:rsidRPr="0094082E" w:rsidRDefault="0094082E" w:rsidP="009408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redes de fraternidad que permitan intimidad no sexual.</w:t>
      </w:r>
    </w:p>
    <w:p w14:paraId="28768DDC"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6.2. Rituales y marcadores</w:t>
      </w:r>
    </w:p>
    <w:p w14:paraId="672CFB66"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El uso de rituales (retiros, votos temporales, dedicaciones anuales) ayuda a institucionalizar la práctica sin absolutizarla. Los votos temporales permiten la experimentación y una decisión informada sobre la permanencia.</w:t>
      </w:r>
    </w:p>
    <w:p w14:paraId="43B56706" w14:textId="77777777" w:rsidR="0094082E" w:rsidRPr="0094082E" w:rsidRDefault="0094082E" w:rsidP="00940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2E">
        <w:rPr>
          <w:rFonts w:ascii="Times New Roman" w:eastAsia="Times New Roman" w:hAnsi="Times New Roman" w:cs="Times New Roman"/>
          <w:b/>
          <w:bCs/>
          <w:kern w:val="0"/>
          <w:sz w:val="27"/>
          <w:szCs w:val="27"/>
          <w14:ligatures w14:val="none"/>
        </w:rPr>
        <w:t>6.3. Tiempo y etapas de la vida</w:t>
      </w:r>
    </w:p>
    <w:p w14:paraId="213E2B65"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Una lectura prudente sugiere considerar fases: prácticas temporales de celibato en etapas académicas, profesionales o espirituales; no necesariamente una única forma vital para todos. La eudaimonía puede alcanzarse mediante itinerarios diversos.</w:t>
      </w:r>
    </w:p>
    <w:p w14:paraId="69138FD7" w14:textId="77777777" w:rsidR="0094082E" w:rsidRPr="0094082E" w:rsidRDefault="002C2417" w:rsidP="0094082E">
      <w:pPr>
        <w:spacing w:after="0" w:line="240" w:lineRule="auto"/>
        <w:rPr>
          <w:rFonts w:ascii="Times New Roman" w:eastAsia="Times New Roman" w:hAnsi="Times New Roman" w:cs="Times New Roman"/>
          <w:kern w:val="0"/>
          <w14:ligatures w14:val="none"/>
        </w:rPr>
      </w:pPr>
      <w:r w:rsidRPr="002C2417">
        <w:rPr>
          <w:rFonts w:ascii="Times New Roman" w:eastAsia="Times New Roman" w:hAnsi="Times New Roman" w:cs="Times New Roman"/>
          <w:noProof/>
          <w:kern w:val="0"/>
        </w:rPr>
        <w:pict w14:anchorId="2EFBE0DA">
          <v:rect id="_x0000_i1027" alt="" style="width:468pt;height:.05pt;mso-width-percent:0;mso-height-percent:0;mso-width-percent:0;mso-height-percent:0" o:hralign="center" o:hrstd="t" o:hr="t" fillcolor="#a0a0a0" stroked="f"/>
        </w:pict>
      </w:r>
    </w:p>
    <w:p w14:paraId="2E821641" w14:textId="77777777" w:rsidR="0094082E" w:rsidRPr="0094082E" w:rsidRDefault="0094082E" w:rsidP="009408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82E">
        <w:rPr>
          <w:rFonts w:ascii="Times New Roman" w:eastAsia="Times New Roman" w:hAnsi="Times New Roman" w:cs="Times New Roman"/>
          <w:b/>
          <w:bCs/>
          <w:kern w:val="0"/>
          <w:sz w:val="36"/>
          <w:szCs w:val="36"/>
          <w14:ligatures w14:val="none"/>
        </w:rPr>
        <w:t>VII. Síntesis normativa: ¿por qué el celibato puede ser virtuoso?</w:t>
      </w:r>
    </w:p>
    <w:p w14:paraId="4F9C8BB6" w14:textId="77777777" w:rsidR="0094082E" w:rsidRPr="0094082E" w:rsidRDefault="0094082E" w:rsidP="009408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b/>
          <w:bCs/>
          <w:kern w:val="0"/>
          <w14:ligatures w14:val="none"/>
        </w:rPr>
        <w:t>Instrumentalidad virtuosa:</w:t>
      </w:r>
      <w:r w:rsidRPr="0094082E">
        <w:rPr>
          <w:rFonts w:ascii="Times New Roman" w:eastAsia="Times New Roman" w:hAnsi="Times New Roman" w:cs="Times New Roman"/>
          <w:kern w:val="0"/>
          <w14:ligatures w14:val="none"/>
        </w:rPr>
        <w:t> el celibato, en su forma voluntaria y regulada, ordena la vida hacia actividades que promueven la virtud y, por tanto, la eudaimonía.</w:t>
      </w:r>
    </w:p>
    <w:p w14:paraId="43A8A5A0" w14:textId="77777777" w:rsidR="0094082E" w:rsidRPr="0094082E" w:rsidRDefault="0094082E" w:rsidP="009408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b/>
          <w:bCs/>
          <w:kern w:val="0"/>
          <w14:ligatures w14:val="none"/>
        </w:rPr>
        <w:t>Efecto social positivo:</w:t>
      </w:r>
      <w:r w:rsidRPr="0094082E">
        <w:rPr>
          <w:rFonts w:ascii="Times New Roman" w:eastAsia="Times New Roman" w:hAnsi="Times New Roman" w:cs="Times New Roman"/>
          <w:kern w:val="0"/>
          <w14:ligatures w14:val="none"/>
        </w:rPr>
        <w:t> la serenidad del individuo mejora su imparcialidad y disponibilidad para el bien común.</w:t>
      </w:r>
    </w:p>
    <w:p w14:paraId="37E6C32B" w14:textId="77777777" w:rsidR="0094082E" w:rsidRPr="0094082E" w:rsidRDefault="0094082E" w:rsidP="009408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b/>
          <w:bCs/>
          <w:kern w:val="0"/>
          <w14:ligatures w14:val="none"/>
        </w:rPr>
        <w:t>Economía de la atención:</w:t>
      </w:r>
      <w:r w:rsidRPr="0094082E">
        <w:rPr>
          <w:rFonts w:ascii="Times New Roman" w:eastAsia="Times New Roman" w:hAnsi="Times New Roman" w:cs="Times New Roman"/>
          <w:kern w:val="0"/>
          <w14:ligatures w14:val="none"/>
        </w:rPr>
        <w:t> al reducirse la atención a demandas eróticas, aumenta la capacidad de constancia en proyectos duraderos.</w:t>
      </w:r>
    </w:p>
    <w:p w14:paraId="2ADA0C82" w14:textId="77777777" w:rsidR="0094082E" w:rsidRPr="0094082E" w:rsidRDefault="0094082E" w:rsidP="009408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b/>
          <w:bCs/>
          <w:kern w:val="0"/>
          <w14:ligatures w14:val="none"/>
        </w:rPr>
        <w:t>Compatibilidad plural:</w:t>
      </w:r>
      <w:r w:rsidRPr="0094082E">
        <w:rPr>
          <w:rFonts w:ascii="Times New Roman" w:eastAsia="Times New Roman" w:hAnsi="Times New Roman" w:cs="Times New Roman"/>
          <w:kern w:val="0"/>
          <w14:ligatures w14:val="none"/>
        </w:rPr>
        <w:t> el celibato no exige la homogenización de la sociedad; es una opción legítima entre otras para alcanzar la felicidad plena.</w:t>
      </w:r>
    </w:p>
    <w:p w14:paraId="0A1EA06F"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De este modo, el celibato ego-altruista aparece como una práctica legítima, a menudo prudente, para orientarse hacia la eudaimonía si se ejerce con libertad, conocimiento y responsabilidad ética.</w:t>
      </w:r>
    </w:p>
    <w:p w14:paraId="53FD878F" w14:textId="77777777" w:rsidR="0094082E" w:rsidRPr="0094082E" w:rsidRDefault="002C2417" w:rsidP="0094082E">
      <w:pPr>
        <w:spacing w:after="0" w:line="240" w:lineRule="auto"/>
        <w:rPr>
          <w:rFonts w:ascii="Times New Roman" w:eastAsia="Times New Roman" w:hAnsi="Times New Roman" w:cs="Times New Roman"/>
          <w:kern w:val="0"/>
          <w14:ligatures w14:val="none"/>
        </w:rPr>
      </w:pPr>
      <w:r w:rsidRPr="002C2417">
        <w:rPr>
          <w:rFonts w:ascii="Times New Roman" w:eastAsia="Times New Roman" w:hAnsi="Times New Roman" w:cs="Times New Roman"/>
          <w:noProof/>
          <w:kern w:val="0"/>
        </w:rPr>
        <w:pict w14:anchorId="4015C679">
          <v:rect id="_x0000_i1026" alt="" style="width:468pt;height:.05pt;mso-width-percent:0;mso-height-percent:0;mso-width-percent:0;mso-height-percent:0" o:hralign="center" o:hrstd="t" o:hr="t" fillcolor="#a0a0a0" stroked="f"/>
        </w:pict>
      </w:r>
    </w:p>
    <w:p w14:paraId="40464C7F" w14:textId="77777777" w:rsidR="0094082E" w:rsidRPr="0094082E" w:rsidRDefault="0094082E" w:rsidP="009408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82E">
        <w:rPr>
          <w:rFonts w:ascii="Times New Roman" w:eastAsia="Times New Roman" w:hAnsi="Times New Roman" w:cs="Times New Roman"/>
          <w:b/>
          <w:bCs/>
          <w:kern w:val="0"/>
          <w:sz w:val="36"/>
          <w:szCs w:val="36"/>
          <w14:ligatures w14:val="none"/>
        </w:rPr>
        <w:t>VIII. Propuesta de programa de investigación y lectura</w:t>
      </w:r>
    </w:p>
    <w:p w14:paraId="63F16BEB"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Para quienes deseen profundizar empíricamente o teóricamente, propongo un programa interdisciplinario:</w:t>
      </w:r>
    </w:p>
    <w:p w14:paraId="3FC5F0A9" w14:textId="77777777" w:rsidR="0094082E" w:rsidRPr="0094082E" w:rsidRDefault="0094082E" w:rsidP="009408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b/>
          <w:bCs/>
          <w:kern w:val="0"/>
          <w14:ligatures w14:val="none"/>
        </w:rPr>
        <w:t>Historia comparada:</w:t>
      </w:r>
      <w:r w:rsidRPr="0094082E">
        <w:rPr>
          <w:rFonts w:ascii="Times New Roman" w:eastAsia="Times New Roman" w:hAnsi="Times New Roman" w:cs="Times New Roman"/>
          <w:kern w:val="0"/>
          <w14:ligatures w14:val="none"/>
        </w:rPr>
        <w:t> análisis de casos monásticos, comunitarios y laicos; estudios de archivo.</w:t>
      </w:r>
    </w:p>
    <w:p w14:paraId="27AE5884" w14:textId="77777777" w:rsidR="0094082E" w:rsidRPr="0094082E" w:rsidRDefault="0094082E" w:rsidP="009408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b/>
          <w:bCs/>
          <w:kern w:val="0"/>
          <w14:ligatures w14:val="none"/>
        </w:rPr>
        <w:t>Psicología y salud mental:</w:t>
      </w:r>
      <w:r w:rsidRPr="0094082E">
        <w:rPr>
          <w:rFonts w:ascii="Times New Roman" w:eastAsia="Times New Roman" w:hAnsi="Times New Roman" w:cs="Times New Roman"/>
          <w:kern w:val="0"/>
          <w14:ligatures w14:val="none"/>
        </w:rPr>
        <w:t> investigaciones longitudinales sobre bienestar subjetivo, riesgo de trastornos y variables moderadoras (apoyo social, voluntariedad).</w:t>
      </w:r>
    </w:p>
    <w:p w14:paraId="6686809D" w14:textId="77777777" w:rsidR="0094082E" w:rsidRPr="0094082E" w:rsidRDefault="0094082E" w:rsidP="009408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b/>
          <w:bCs/>
          <w:kern w:val="0"/>
          <w14:ligatures w14:val="none"/>
        </w:rPr>
        <w:lastRenderedPageBreak/>
        <w:t>Neurociencia de la autodisciplina:</w:t>
      </w:r>
      <w:r w:rsidRPr="0094082E">
        <w:rPr>
          <w:rFonts w:ascii="Times New Roman" w:eastAsia="Times New Roman" w:hAnsi="Times New Roman" w:cs="Times New Roman"/>
          <w:kern w:val="0"/>
          <w14:ligatures w14:val="none"/>
        </w:rPr>
        <w:t> estudios sobre plasticidad dopaminérgica frente a la regulación de estímulos eróticos.</w:t>
      </w:r>
    </w:p>
    <w:p w14:paraId="5100FDDF" w14:textId="77777777" w:rsidR="0094082E" w:rsidRPr="0094082E" w:rsidRDefault="0094082E" w:rsidP="009408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b/>
          <w:bCs/>
          <w:kern w:val="0"/>
          <w14:ligatures w14:val="none"/>
        </w:rPr>
        <w:t>Sociología institucional:</w:t>
      </w:r>
      <w:r w:rsidRPr="0094082E">
        <w:rPr>
          <w:rFonts w:ascii="Times New Roman" w:eastAsia="Times New Roman" w:hAnsi="Times New Roman" w:cs="Times New Roman"/>
          <w:kern w:val="0"/>
          <w14:ligatures w14:val="none"/>
        </w:rPr>
        <w:t> efectos de la presencia de célibes en confianza pública y equidad institucional.</w:t>
      </w:r>
    </w:p>
    <w:p w14:paraId="2E183100" w14:textId="77777777" w:rsidR="0094082E" w:rsidRPr="0094082E" w:rsidRDefault="0094082E" w:rsidP="009408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b/>
          <w:bCs/>
          <w:kern w:val="0"/>
          <w14:ligatures w14:val="none"/>
        </w:rPr>
        <w:t>Ética normativa:</w:t>
      </w:r>
      <w:r w:rsidRPr="0094082E">
        <w:rPr>
          <w:rFonts w:ascii="Times New Roman" w:eastAsia="Times New Roman" w:hAnsi="Times New Roman" w:cs="Times New Roman"/>
          <w:kern w:val="0"/>
          <w14:ligatures w14:val="none"/>
        </w:rPr>
        <w:t> análisis filosófico sobre la legitimidad de prácticas que priorizan fines no inmediatos.</w:t>
      </w:r>
    </w:p>
    <w:p w14:paraId="711C906F"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Lecturas sugeridas (clásicas y transversales): Aristóteles (</w:t>
      </w:r>
      <w:r w:rsidRPr="0094082E">
        <w:rPr>
          <w:rFonts w:ascii="Times New Roman" w:eastAsia="Times New Roman" w:hAnsi="Times New Roman" w:cs="Times New Roman"/>
          <w:i/>
          <w:iCs/>
          <w:kern w:val="0"/>
          <w14:ligatures w14:val="none"/>
        </w:rPr>
        <w:t>Ética a Nicómaco</w:t>
      </w:r>
      <w:r w:rsidRPr="0094082E">
        <w:rPr>
          <w:rFonts w:ascii="Times New Roman" w:eastAsia="Times New Roman" w:hAnsi="Times New Roman" w:cs="Times New Roman"/>
          <w:kern w:val="0"/>
          <w14:ligatures w14:val="none"/>
        </w:rPr>
        <w:t>), Séneca y los estoicos, la literatura patrística sobre monaquismo (textos de Antonio, Pacomio, Basilio, Benito), textos de la tradición védica sobre </w:t>
      </w:r>
      <w:r w:rsidRPr="0094082E">
        <w:rPr>
          <w:rFonts w:ascii="Times New Roman" w:eastAsia="Times New Roman" w:hAnsi="Times New Roman" w:cs="Times New Roman"/>
          <w:i/>
          <w:iCs/>
          <w:kern w:val="0"/>
          <w14:ligatures w14:val="none"/>
        </w:rPr>
        <w:t>brahmacharya</w:t>
      </w:r>
      <w:r w:rsidRPr="0094082E">
        <w:rPr>
          <w:rFonts w:ascii="Times New Roman" w:eastAsia="Times New Roman" w:hAnsi="Times New Roman" w:cs="Times New Roman"/>
          <w:kern w:val="0"/>
          <w14:ligatures w14:val="none"/>
        </w:rPr>
        <w:t>, textos budistas sobre el vinaya y la vida monástica, obras modernas sobre ascetismo y psicología de la autodisciplina. (Para un listado bibliográfico académico exhaustivo se puede preparar una bibliografía comentada a pedido).</w:t>
      </w:r>
    </w:p>
    <w:p w14:paraId="6FDDDE71" w14:textId="77777777" w:rsidR="0094082E" w:rsidRPr="0094082E" w:rsidRDefault="002C2417" w:rsidP="0094082E">
      <w:pPr>
        <w:spacing w:after="0" w:line="240" w:lineRule="auto"/>
        <w:rPr>
          <w:rFonts w:ascii="Times New Roman" w:eastAsia="Times New Roman" w:hAnsi="Times New Roman" w:cs="Times New Roman"/>
          <w:kern w:val="0"/>
          <w14:ligatures w14:val="none"/>
        </w:rPr>
      </w:pPr>
      <w:r w:rsidRPr="002C2417">
        <w:rPr>
          <w:rFonts w:ascii="Times New Roman" w:eastAsia="Times New Roman" w:hAnsi="Times New Roman" w:cs="Times New Roman"/>
          <w:noProof/>
          <w:kern w:val="0"/>
        </w:rPr>
        <w:pict w14:anchorId="36205D8C">
          <v:rect id="_x0000_i1025" alt="" style="width:468pt;height:.05pt;mso-width-percent:0;mso-height-percent:0;mso-width-percent:0;mso-height-percent:0" o:hralign="center" o:hrstd="t" o:hr="t" fillcolor="#a0a0a0" stroked="f"/>
        </w:pict>
      </w:r>
    </w:p>
    <w:p w14:paraId="2DAB9973" w14:textId="77777777" w:rsidR="0094082E" w:rsidRPr="0094082E" w:rsidRDefault="0094082E" w:rsidP="009408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82E">
        <w:rPr>
          <w:rFonts w:ascii="Times New Roman" w:eastAsia="Times New Roman" w:hAnsi="Times New Roman" w:cs="Times New Roman"/>
          <w:b/>
          <w:bCs/>
          <w:kern w:val="0"/>
          <w:sz w:val="36"/>
          <w:szCs w:val="36"/>
          <w14:ligatures w14:val="none"/>
        </w:rPr>
        <w:t>Conclusión final</w:t>
      </w:r>
    </w:p>
    <w:p w14:paraId="2B2AA91F" w14:textId="77777777" w:rsidR="0094082E" w:rsidRPr="0094082E" w:rsidRDefault="0094082E" w:rsidP="0094082E">
      <w:pPr>
        <w:spacing w:before="100" w:beforeAutospacing="1" w:after="100" w:afterAutospacing="1" w:line="240" w:lineRule="auto"/>
        <w:rPr>
          <w:rFonts w:ascii="Times New Roman" w:eastAsia="Times New Roman" w:hAnsi="Times New Roman" w:cs="Times New Roman"/>
          <w:kern w:val="0"/>
          <w14:ligatures w14:val="none"/>
        </w:rPr>
      </w:pPr>
      <w:r w:rsidRPr="0094082E">
        <w:rPr>
          <w:rFonts w:ascii="Times New Roman" w:eastAsia="Times New Roman" w:hAnsi="Times New Roman" w:cs="Times New Roman"/>
          <w:kern w:val="0"/>
          <w14:ligatures w14:val="none"/>
        </w:rPr>
        <w:t>El celibato, considerado en esta exposición ampliada como práctica consciente y regulada, puede ser una vía lícita y fructífera hacia la eudaimonía. Al reducir deliberadamente la centralidad de la dimensión sensible, el sujeto recupera claridad, energía y tiempo para la actividad virtuosa. Si se integra en un marco comunitario justo, informado y transparente, sus efectos individuales confluyen en beneficios sociales: mayor imparcialidad, servicio más desinteresado y estructuras institucionales menos marcadas por la posesividad. Así, el celibato ego-altruista no es una huida, sino una técnica moral y existencial para habitar el mundo con mayor serenidad y eficacia en favor del bien común.</w:t>
      </w:r>
    </w:p>
    <w:p w14:paraId="5B22FDCB" w14:textId="77777777" w:rsidR="00354789" w:rsidRDefault="00354789"/>
    <w:sectPr w:rsidR="00354789" w:rsidSect="00C44D93">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13182"/>
    <w:multiLevelType w:val="multilevel"/>
    <w:tmpl w:val="F97EE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803306"/>
    <w:multiLevelType w:val="multilevel"/>
    <w:tmpl w:val="4990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CC4669"/>
    <w:multiLevelType w:val="multilevel"/>
    <w:tmpl w:val="B7B29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496CF1"/>
    <w:multiLevelType w:val="multilevel"/>
    <w:tmpl w:val="459C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298333">
    <w:abstractNumId w:val="3"/>
  </w:num>
  <w:num w:numId="2" w16cid:durableId="225381481">
    <w:abstractNumId w:val="1"/>
  </w:num>
  <w:num w:numId="3" w16cid:durableId="1154180570">
    <w:abstractNumId w:val="2"/>
  </w:num>
  <w:num w:numId="4" w16cid:durableId="812257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82E"/>
    <w:rsid w:val="002C2417"/>
    <w:rsid w:val="00354789"/>
    <w:rsid w:val="00465DC1"/>
    <w:rsid w:val="00557598"/>
    <w:rsid w:val="0086667F"/>
    <w:rsid w:val="0094082E"/>
    <w:rsid w:val="00A813F7"/>
    <w:rsid w:val="00A855DD"/>
    <w:rsid w:val="00C1618E"/>
    <w:rsid w:val="00C44D93"/>
    <w:rsid w:val="00F35BA8"/>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DCAE9"/>
  <w15:chartTrackingRefBased/>
  <w15:docId w15:val="{9647E1A6-CD93-1A4A-8D05-FE2A5EB92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8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8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8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8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8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40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8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8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8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8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82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40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82E"/>
    <w:rPr>
      <w:rFonts w:eastAsiaTheme="majorEastAsia" w:cstheme="majorBidi"/>
      <w:color w:val="272727" w:themeColor="text1" w:themeTint="D8"/>
    </w:rPr>
  </w:style>
  <w:style w:type="paragraph" w:styleId="Title">
    <w:name w:val="Title"/>
    <w:basedOn w:val="Normal"/>
    <w:next w:val="Normal"/>
    <w:link w:val="TitleChar"/>
    <w:uiPriority w:val="10"/>
    <w:qFormat/>
    <w:rsid w:val="00940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8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82E"/>
    <w:pPr>
      <w:spacing w:before="160"/>
      <w:jc w:val="center"/>
    </w:pPr>
    <w:rPr>
      <w:i/>
      <w:iCs/>
      <w:color w:val="404040" w:themeColor="text1" w:themeTint="BF"/>
    </w:rPr>
  </w:style>
  <w:style w:type="character" w:customStyle="1" w:styleId="QuoteChar">
    <w:name w:val="Quote Char"/>
    <w:basedOn w:val="DefaultParagraphFont"/>
    <w:link w:val="Quote"/>
    <w:uiPriority w:val="29"/>
    <w:rsid w:val="0094082E"/>
    <w:rPr>
      <w:i/>
      <w:iCs/>
      <w:color w:val="404040" w:themeColor="text1" w:themeTint="BF"/>
    </w:rPr>
  </w:style>
  <w:style w:type="paragraph" w:styleId="ListParagraph">
    <w:name w:val="List Paragraph"/>
    <w:basedOn w:val="Normal"/>
    <w:uiPriority w:val="34"/>
    <w:qFormat/>
    <w:rsid w:val="0094082E"/>
    <w:pPr>
      <w:ind w:left="720"/>
      <w:contextualSpacing/>
    </w:pPr>
  </w:style>
  <w:style w:type="character" w:styleId="IntenseEmphasis">
    <w:name w:val="Intense Emphasis"/>
    <w:basedOn w:val="DefaultParagraphFont"/>
    <w:uiPriority w:val="21"/>
    <w:qFormat/>
    <w:rsid w:val="0094082E"/>
    <w:rPr>
      <w:i/>
      <w:iCs/>
      <w:color w:val="0F4761" w:themeColor="accent1" w:themeShade="BF"/>
    </w:rPr>
  </w:style>
  <w:style w:type="paragraph" w:styleId="IntenseQuote">
    <w:name w:val="Intense Quote"/>
    <w:basedOn w:val="Normal"/>
    <w:next w:val="Normal"/>
    <w:link w:val="IntenseQuoteChar"/>
    <w:uiPriority w:val="30"/>
    <w:qFormat/>
    <w:rsid w:val="00940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82E"/>
    <w:rPr>
      <w:i/>
      <w:iCs/>
      <w:color w:val="0F4761" w:themeColor="accent1" w:themeShade="BF"/>
    </w:rPr>
  </w:style>
  <w:style w:type="character" w:styleId="IntenseReference">
    <w:name w:val="Intense Reference"/>
    <w:basedOn w:val="DefaultParagraphFont"/>
    <w:uiPriority w:val="32"/>
    <w:qFormat/>
    <w:rsid w:val="0094082E"/>
    <w:rPr>
      <w:b/>
      <w:bCs/>
      <w:smallCaps/>
      <w:color w:val="0F4761" w:themeColor="accent1" w:themeShade="BF"/>
      <w:spacing w:val="5"/>
    </w:rPr>
  </w:style>
  <w:style w:type="character" w:styleId="Strong">
    <w:name w:val="Strong"/>
    <w:basedOn w:val="DefaultParagraphFont"/>
    <w:uiPriority w:val="22"/>
    <w:qFormat/>
    <w:rsid w:val="0094082E"/>
    <w:rPr>
      <w:b/>
      <w:bCs/>
    </w:rPr>
  </w:style>
  <w:style w:type="paragraph" w:styleId="NormalWeb">
    <w:name w:val="Normal (Web)"/>
    <w:basedOn w:val="Normal"/>
    <w:uiPriority w:val="99"/>
    <w:semiHidden/>
    <w:unhideWhenUsed/>
    <w:rsid w:val="0094082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4082E"/>
  </w:style>
  <w:style w:type="character" w:styleId="Emphasis">
    <w:name w:val="Emphasis"/>
    <w:basedOn w:val="DefaultParagraphFont"/>
    <w:uiPriority w:val="20"/>
    <w:qFormat/>
    <w:rsid w:val="009408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2168</Words>
  <Characters>12362</Characters>
  <Application>Microsoft Office Word</Application>
  <DocSecurity>0</DocSecurity>
  <Lines>103</Lines>
  <Paragraphs>29</Paragraphs>
  <ScaleCrop>false</ScaleCrop>
  <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Ignacio Lavados Sepúlveda</dc:creator>
  <cp:keywords/>
  <dc:description/>
  <cp:lastModifiedBy>Tomás Ignacio Lavados Sepúlveda</cp:lastModifiedBy>
  <cp:revision>1</cp:revision>
  <dcterms:created xsi:type="dcterms:W3CDTF">2025-12-09T09:07:00Z</dcterms:created>
  <dcterms:modified xsi:type="dcterms:W3CDTF">2025-12-09T09:08:00Z</dcterms:modified>
</cp:coreProperties>
</file>