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40285" w14:textId="31EB80F6" w:rsidR="00F243C5" w:rsidRPr="00F243C5" w:rsidRDefault="00F243C5" w:rsidP="00F243C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243C5">
        <w:rPr>
          <w:rFonts w:ascii="Times New Roman" w:eastAsia="Times New Roman" w:hAnsi="Times New Roman" w:cs="Times New Roman"/>
          <w:b/>
          <w:bCs/>
          <w:color w:val="000000"/>
          <w:kern w:val="36"/>
          <w:sz w:val="48"/>
          <w:szCs w:val="48"/>
          <w14:ligatures w14:val="none"/>
        </w:rPr>
        <w:t>Hacia una Doctrina Universal de la Razón Práctica:</w:t>
      </w:r>
    </w:p>
    <w:p w14:paraId="2B515187" w14:textId="35E80CC4"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Kant, la Armonía Pitagórica, el Idealismo Filosófico y la Convergencia de las Tradiciones Éticas</w:t>
      </w:r>
    </w:p>
    <w:p w14:paraId="69B17E22" w14:textId="77777777" w:rsidR="00F243C5" w:rsidRPr="00F243C5" w:rsidRDefault="00F243C5" w:rsidP="00F243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243C5">
        <w:rPr>
          <w:rFonts w:ascii="Times New Roman" w:eastAsia="Times New Roman" w:hAnsi="Times New Roman" w:cs="Times New Roman"/>
          <w:b/>
          <w:bCs/>
          <w:color w:val="000000"/>
          <w:kern w:val="0"/>
          <w:sz w:val="27"/>
          <w:szCs w:val="27"/>
          <w14:ligatures w14:val="none"/>
        </w:rPr>
        <w:t>Resumen</w:t>
      </w:r>
    </w:p>
    <w:p w14:paraId="5940D33D"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Este artículo propone una síntesis sistemática entre diversas corrientes filosóficas —cristianismo, pitagorismo, platonismo, aristotelismo, tomismo, idealismo alemán y filosofía kantiana— con el fin de demostrar la convergencia de todas ellas hacia una misma estructura normativa: la perfección moral del ser humano y la constitución de un orden social libre, racional y cooperativo. Se introduce el concepto de </w:t>
      </w:r>
      <w:r w:rsidRPr="00F243C5">
        <w:rPr>
          <w:rFonts w:ascii="Times New Roman" w:eastAsia="Times New Roman" w:hAnsi="Times New Roman" w:cs="Times New Roman"/>
          <w:b/>
          <w:bCs/>
          <w:color w:val="000000"/>
          <w:kern w:val="0"/>
          <w14:ligatures w14:val="none"/>
        </w:rPr>
        <w:t>“tragedia kantiana”</w:t>
      </w:r>
      <w:r w:rsidRPr="00F243C5">
        <w:rPr>
          <w:rFonts w:ascii="Times New Roman" w:eastAsia="Times New Roman" w:hAnsi="Times New Roman" w:cs="Times New Roman"/>
          <w:color w:val="000000"/>
          <w:kern w:val="0"/>
          <w14:ligatures w14:val="none"/>
        </w:rPr>
        <w:t>, que explica la tensión entre la necesidad racional del Estado coercitivo y su fracaso empírico debido a la inmoralidad humana. A partir de ello, se desarrolla un </w:t>
      </w:r>
      <w:r w:rsidRPr="00F243C5">
        <w:rPr>
          <w:rFonts w:ascii="Times New Roman" w:eastAsia="Times New Roman" w:hAnsi="Times New Roman" w:cs="Times New Roman"/>
          <w:b/>
          <w:bCs/>
          <w:color w:val="000000"/>
          <w:kern w:val="0"/>
          <w14:ligatures w14:val="none"/>
        </w:rPr>
        <w:t>método terapéutico kantiano</w:t>
      </w:r>
      <w:r w:rsidRPr="00F243C5">
        <w:rPr>
          <w:rFonts w:ascii="Times New Roman" w:eastAsia="Times New Roman" w:hAnsi="Times New Roman" w:cs="Times New Roman"/>
          <w:color w:val="000000"/>
          <w:kern w:val="0"/>
          <w14:ligatures w14:val="none"/>
        </w:rPr>
        <w:t> que habilita la elevación moral del individuo mediante disciplina del carácter, purificación del afecto y despertar de la razón trascendental. Se integran además principios estéticos pitagóricos y vías ascéticas del platonismo y del idealismo, mostrando su papel en la formación del sujeto práctico. La conclusión establece una </w:t>
      </w:r>
      <w:r w:rsidRPr="00F243C5">
        <w:rPr>
          <w:rFonts w:ascii="Times New Roman" w:eastAsia="Times New Roman" w:hAnsi="Times New Roman" w:cs="Times New Roman"/>
          <w:b/>
          <w:bCs/>
          <w:color w:val="000000"/>
          <w:kern w:val="0"/>
          <w14:ligatures w14:val="none"/>
        </w:rPr>
        <w:t>doctrina unificada</w:t>
      </w:r>
      <w:r w:rsidRPr="00F243C5">
        <w:rPr>
          <w:rFonts w:ascii="Times New Roman" w:eastAsia="Times New Roman" w:hAnsi="Times New Roman" w:cs="Times New Roman"/>
          <w:color w:val="000000"/>
          <w:kern w:val="0"/>
          <w14:ligatures w14:val="none"/>
        </w:rPr>
        <w:t> en la que las grandes tradiciones coinciden y que conduce naturalmente a una </w:t>
      </w:r>
      <w:r w:rsidRPr="00F243C5">
        <w:rPr>
          <w:rFonts w:ascii="Times New Roman" w:eastAsia="Times New Roman" w:hAnsi="Times New Roman" w:cs="Times New Roman"/>
          <w:b/>
          <w:bCs/>
          <w:color w:val="000000"/>
          <w:kern w:val="0"/>
          <w14:ligatures w14:val="none"/>
        </w:rPr>
        <w:t>utopía socialista y libre</w:t>
      </w:r>
      <w:r w:rsidRPr="00F243C5">
        <w:rPr>
          <w:rFonts w:ascii="Times New Roman" w:eastAsia="Times New Roman" w:hAnsi="Times New Roman" w:cs="Times New Roman"/>
          <w:color w:val="000000"/>
          <w:kern w:val="0"/>
          <w14:ligatures w14:val="none"/>
        </w:rPr>
        <w:t>, no coercitiva, basada en la virtud universal.</w:t>
      </w:r>
    </w:p>
    <w:p w14:paraId="26F4B2CA" w14:textId="77777777" w:rsidR="00F243C5" w:rsidRPr="00F243C5" w:rsidRDefault="00332CD8" w:rsidP="00F243C5">
      <w:pPr>
        <w:spacing w:after="0" w:line="240" w:lineRule="auto"/>
        <w:rPr>
          <w:rFonts w:ascii="Times New Roman" w:eastAsia="Times New Roman" w:hAnsi="Times New Roman" w:cs="Times New Roman"/>
          <w:kern w:val="0"/>
          <w14:ligatures w14:val="none"/>
        </w:rPr>
      </w:pPr>
      <w:r w:rsidRPr="00332CD8">
        <w:rPr>
          <w:rFonts w:ascii="Times New Roman" w:eastAsia="Times New Roman" w:hAnsi="Times New Roman" w:cs="Times New Roman"/>
          <w:noProof/>
          <w:kern w:val="0"/>
        </w:rPr>
        <w:pict w14:anchorId="249C1D29">
          <v:rect id="_x0000_i1033" alt="" style="width:468pt;height:.05pt;mso-width-percent:0;mso-height-percent:0;mso-width-percent:0;mso-height-percent:0" o:hralign="center" o:hrstd="t" o:hr="t" fillcolor="#a0a0a0" stroked="f"/>
        </w:pict>
      </w:r>
    </w:p>
    <w:p w14:paraId="147BAAE1" w14:textId="77777777" w:rsidR="00F243C5" w:rsidRPr="00F243C5" w:rsidRDefault="00F243C5" w:rsidP="00F243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243C5">
        <w:rPr>
          <w:rFonts w:ascii="Times New Roman" w:eastAsia="Times New Roman" w:hAnsi="Times New Roman" w:cs="Times New Roman"/>
          <w:b/>
          <w:bCs/>
          <w:color w:val="000000"/>
          <w:kern w:val="0"/>
          <w:sz w:val="36"/>
          <w:szCs w:val="36"/>
          <w14:ligatures w14:val="none"/>
        </w:rPr>
        <w:t>1. Introducción: la convergencia de las tradiciones éticas</w:t>
      </w:r>
    </w:p>
    <w:p w14:paraId="675735C1"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A lo largo de la historia, múltiples tradiciones filosóficas y religiosas han articulado modelos de perfección humana, describiendo la vida virtuosa como un proceso de elevación moral, purificación del carácter y subordinación del interés propio al bien universal. En este artículo se sostiene que, pese a diferencias doctrinales superficiales, estas tradiciones convergen en una </w:t>
      </w:r>
      <w:r w:rsidRPr="00F243C5">
        <w:rPr>
          <w:rFonts w:ascii="Times New Roman" w:eastAsia="Times New Roman" w:hAnsi="Times New Roman" w:cs="Times New Roman"/>
          <w:b/>
          <w:bCs/>
          <w:color w:val="000000"/>
          <w:kern w:val="0"/>
          <w14:ligatures w14:val="none"/>
        </w:rPr>
        <w:t>estructura ética común</w:t>
      </w:r>
      <w:r w:rsidRPr="00F243C5">
        <w:rPr>
          <w:rFonts w:ascii="Times New Roman" w:eastAsia="Times New Roman" w:hAnsi="Times New Roman" w:cs="Times New Roman"/>
          <w:color w:val="000000"/>
          <w:kern w:val="0"/>
          <w14:ligatures w14:val="none"/>
        </w:rPr>
        <w:t> fundada en la razón práctica, la armonía, la virtud y el amor universal.</w:t>
      </w:r>
    </w:p>
    <w:p w14:paraId="17B619E9"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El análisis parte de la filosofía de Kant, cuya doctrina moral permite articular el marco formal desde el cual se pueden integrar otras tradiciones. Sobre esta base, se elabora una síntesis pitagórico-platónica del cultivo afectivo y estético, y una vía ascética espiritual que conecta el cristianismo, el tomismo y el idealismo alemán. Se argumenta que la coincidencia de todos estos sistemas conduce a un modelo de organización social que puede denominarse </w:t>
      </w:r>
      <w:r w:rsidRPr="00F243C5">
        <w:rPr>
          <w:rFonts w:ascii="Times New Roman" w:eastAsia="Times New Roman" w:hAnsi="Times New Roman" w:cs="Times New Roman"/>
          <w:b/>
          <w:bCs/>
          <w:color w:val="000000"/>
          <w:kern w:val="0"/>
          <w14:ligatures w14:val="none"/>
        </w:rPr>
        <w:t>utopía socialista y libre</w:t>
      </w:r>
      <w:r w:rsidRPr="00F243C5">
        <w:rPr>
          <w:rFonts w:ascii="Times New Roman" w:eastAsia="Times New Roman" w:hAnsi="Times New Roman" w:cs="Times New Roman"/>
          <w:color w:val="000000"/>
          <w:kern w:val="0"/>
          <w14:ligatures w14:val="none"/>
        </w:rPr>
        <w:t>, entendida como un orden no coercitivo sostenido por la perfección moral colectiva.</w:t>
      </w:r>
    </w:p>
    <w:p w14:paraId="400CCF98" w14:textId="77777777" w:rsidR="00F243C5" w:rsidRPr="00F243C5" w:rsidRDefault="00332CD8" w:rsidP="00F243C5">
      <w:pPr>
        <w:spacing w:after="0" w:line="240" w:lineRule="auto"/>
        <w:rPr>
          <w:rFonts w:ascii="Times New Roman" w:eastAsia="Times New Roman" w:hAnsi="Times New Roman" w:cs="Times New Roman"/>
          <w:kern w:val="0"/>
          <w14:ligatures w14:val="none"/>
        </w:rPr>
      </w:pPr>
      <w:r w:rsidRPr="00332CD8">
        <w:rPr>
          <w:rFonts w:ascii="Times New Roman" w:eastAsia="Times New Roman" w:hAnsi="Times New Roman" w:cs="Times New Roman"/>
          <w:noProof/>
          <w:kern w:val="0"/>
        </w:rPr>
        <w:pict w14:anchorId="6E2C9B40">
          <v:rect id="_x0000_i1032" alt="" style="width:468pt;height:.05pt;mso-width-percent:0;mso-height-percent:0;mso-width-percent:0;mso-height-percent:0" o:hralign="center" o:hrstd="t" o:hr="t" fillcolor="#a0a0a0" stroked="f"/>
        </w:pict>
      </w:r>
    </w:p>
    <w:p w14:paraId="4684CCCA" w14:textId="77777777" w:rsidR="00F243C5" w:rsidRPr="00F243C5" w:rsidRDefault="00F243C5" w:rsidP="00F243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243C5">
        <w:rPr>
          <w:rFonts w:ascii="Times New Roman" w:eastAsia="Times New Roman" w:hAnsi="Times New Roman" w:cs="Times New Roman"/>
          <w:b/>
          <w:bCs/>
          <w:color w:val="000000"/>
          <w:kern w:val="0"/>
          <w:sz w:val="36"/>
          <w:szCs w:val="36"/>
          <w14:ligatures w14:val="none"/>
        </w:rPr>
        <w:t>2. La tragedia kantiana: fundamento y límites del Estado coercitivo</w:t>
      </w:r>
    </w:p>
    <w:p w14:paraId="6FB141AA" w14:textId="77777777" w:rsidR="00F243C5" w:rsidRPr="00F243C5" w:rsidRDefault="00F243C5" w:rsidP="00F243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243C5">
        <w:rPr>
          <w:rFonts w:ascii="Times New Roman" w:eastAsia="Times New Roman" w:hAnsi="Times New Roman" w:cs="Times New Roman"/>
          <w:b/>
          <w:bCs/>
          <w:color w:val="000000"/>
          <w:kern w:val="0"/>
          <w:sz w:val="27"/>
          <w:szCs w:val="27"/>
          <w14:ligatures w14:val="none"/>
        </w:rPr>
        <w:lastRenderedPageBreak/>
        <w:t>2.1. La necesidad racional del Estado</w:t>
      </w:r>
    </w:p>
    <w:p w14:paraId="7E310041"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En la doctrina kantiana, el Estado es una exigencia de la razón práctica aplicada a seres humanos imperfectos. Dado que cada individuo posee libertad externa y deseos particulares, la convivencia pacífica requiere una autoridad legislativa capaz de garantizar la compatibilidad universal de las libertades. De ello surge el poder coercitivo como instrumento para asegurar el derecho.</w:t>
      </w:r>
    </w:p>
    <w:p w14:paraId="38E3B43A" w14:textId="77777777" w:rsidR="00F243C5" w:rsidRPr="00F243C5" w:rsidRDefault="00F243C5" w:rsidP="00F243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243C5">
        <w:rPr>
          <w:rFonts w:ascii="Times New Roman" w:eastAsia="Times New Roman" w:hAnsi="Times New Roman" w:cs="Times New Roman"/>
          <w:b/>
          <w:bCs/>
          <w:color w:val="000000"/>
          <w:kern w:val="0"/>
          <w:sz w:val="27"/>
          <w:szCs w:val="27"/>
          <w14:ligatures w14:val="none"/>
        </w:rPr>
        <w:t>2.2. El remedio peor que la enfermedad</w:t>
      </w:r>
    </w:p>
    <w:p w14:paraId="1285DD3B"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Sin embargo, Kant reconoce que los gobernantes son también seres humanos afectados por inclinaciones, intereses y pasiones. Esto conduce a la </w:t>
      </w:r>
      <w:r w:rsidRPr="00F243C5">
        <w:rPr>
          <w:rFonts w:ascii="Times New Roman" w:eastAsia="Times New Roman" w:hAnsi="Times New Roman" w:cs="Times New Roman"/>
          <w:b/>
          <w:bCs/>
          <w:color w:val="000000"/>
          <w:kern w:val="0"/>
          <w14:ligatures w14:val="none"/>
        </w:rPr>
        <w:t>tragedia kantiana</w:t>
      </w:r>
      <w:r w:rsidRPr="00F243C5">
        <w:rPr>
          <w:rFonts w:ascii="Times New Roman" w:eastAsia="Times New Roman" w:hAnsi="Times New Roman" w:cs="Times New Roman"/>
          <w:color w:val="000000"/>
          <w:kern w:val="0"/>
          <w14:ligatures w14:val="none"/>
        </w:rPr>
        <w:t>:</w:t>
      </w:r>
    </w:p>
    <w:p w14:paraId="3484D0D7"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el Estado y sus gobernantes emergen para remediar la inmoralidad humana, pero su existencia puede producir nuevos males, amplificados por el poder que detentan.</w:t>
      </w:r>
    </w:p>
    <w:p w14:paraId="664C889E"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El poder político, necesario en teoría, puede convertirse empíricamente en un mecanismo de opresión, violencia y corrupción. Lo semejante engendra lo semejante: de la inmoralidad humana surge una institución capaz tanto de contenerla como de reproducirla.</w:t>
      </w:r>
    </w:p>
    <w:p w14:paraId="2121FE4D" w14:textId="77777777" w:rsidR="00F243C5" w:rsidRPr="00F243C5" w:rsidRDefault="00F243C5" w:rsidP="00F243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243C5">
        <w:rPr>
          <w:rFonts w:ascii="Times New Roman" w:eastAsia="Times New Roman" w:hAnsi="Times New Roman" w:cs="Times New Roman"/>
          <w:b/>
          <w:bCs/>
          <w:color w:val="000000"/>
          <w:kern w:val="0"/>
          <w:sz w:val="27"/>
          <w:szCs w:val="27"/>
          <w14:ligatures w14:val="none"/>
        </w:rPr>
        <w:t>2.3. Superación de la tragedia</w:t>
      </w:r>
    </w:p>
    <w:p w14:paraId="30258ED7"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Kant sostiene que esta tragedia desaparecería únicamente en un reino de seres moralmente perfectos. En tal escenario, donde todos actuaran según la ley moral, la coerción sería innecesaria: la sociedad sería </w:t>
      </w:r>
      <w:r w:rsidRPr="00F243C5">
        <w:rPr>
          <w:rFonts w:ascii="Times New Roman" w:eastAsia="Times New Roman" w:hAnsi="Times New Roman" w:cs="Times New Roman"/>
          <w:b/>
          <w:bCs/>
          <w:color w:val="000000"/>
          <w:kern w:val="0"/>
          <w14:ligatures w14:val="none"/>
        </w:rPr>
        <w:t>ácrata</w:t>
      </w:r>
      <w:r w:rsidRPr="00F243C5">
        <w:rPr>
          <w:rFonts w:ascii="Times New Roman" w:eastAsia="Times New Roman" w:hAnsi="Times New Roman" w:cs="Times New Roman"/>
          <w:color w:val="000000"/>
          <w:kern w:val="0"/>
          <w14:ligatures w14:val="none"/>
        </w:rPr>
        <w:t>, un orden libre sin autoridad central.</w:t>
      </w:r>
    </w:p>
    <w:p w14:paraId="2BE590CB"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La superación de la tragedia kantiana requiere, entonces, no reformas institucionales sino </w:t>
      </w:r>
      <w:r w:rsidRPr="00F243C5">
        <w:rPr>
          <w:rFonts w:ascii="Times New Roman" w:eastAsia="Times New Roman" w:hAnsi="Times New Roman" w:cs="Times New Roman"/>
          <w:b/>
          <w:bCs/>
          <w:color w:val="000000"/>
          <w:kern w:val="0"/>
          <w14:ligatures w14:val="none"/>
        </w:rPr>
        <w:t>transformación moral del sujeto</w:t>
      </w:r>
      <w:r w:rsidRPr="00F243C5">
        <w:rPr>
          <w:rFonts w:ascii="Times New Roman" w:eastAsia="Times New Roman" w:hAnsi="Times New Roman" w:cs="Times New Roman"/>
          <w:color w:val="000000"/>
          <w:kern w:val="0"/>
          <w14:ligatures w14:val="none"/>
        </w:rPr>
        <w:t>.</w:t>
      </w:r>
    </w:p>
    <w:p w14:paraId="20F0888D" w14:textId="77777777" w:rsidR="00F243C5" w:rsidRPr="00F243C5" w:rsidRDefault="00332CD8" w:rsidP="00F243C5">
      <w:pPr>
        <w:spacing w:after="0" w:line="240" w:lineRule="auto"/>
        <w:rPr>
          <w:rFonts w:ascii="Times New Roman" w:eastAsia="Times New Roman" w:hAnsi="Times New Roman" w:cs="Times New Roman"/>
          <w:kern w:val="0"/>
          <w14:ligatures w14:val="none"/>
        </w:rPr>
      </w:pPr>
      <w:r w:rsidRPr="00332CD8">
        <w:rPr>
          <w:rFonts w:ascii="Times New Roman" w:eastAsia="Times New Roman" w:hAnsi="Times New Roman" w:cs="Times New Roman"/>
          <w:noProof/>
          <w:kern w:val="0"/>
        </w:rPr>
        <w:pict w14:anchorId="399B4833">
          <v:rect id="_x0000_i1031" alt="" style="width:468pt;height:.05pt;mso-width-percent:0;mso-height-percent:0;mso-width-percent:0;mso-height-percent:0" o:hralign="center" o:hrstd="t" o:hr="t" fillcolor="#a0a0a0" stroked="f"/>
        </w:pict>
      </w:r>
    </w:p>
    <w:p w14:paraId="46B343AB" w14:textId="77777777" w:rsidR="00F243C5" w:rsidRPr="00F243C5" w:rsidRDefault="00F243C5" w:rsidP="00F243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243C5">
        <w:rPr>
          <w:rFonts w:ascii="Times New Roman" w:eastAsia="Times New Roman" w:hAnsi="Times New Roman" w:cs="Times New Roman"/>
          <w:b/>
          <w:bCs/>
          <w:color w:val="000000"/>
          <w:kern w:val="0"/>
          <w:sz w:val="36"/>
          <w:szCs w:val="36"/>
          <w14:ligatures w14:val="none"/>
        </w:rPr>
        <w:t>3. Hacia un método terapéutico kantiano de habilitación moral</w:t>
      </w:r>
    </w:p>
    <w:p w14:paraId="6637C4AB" w14:textId="77777777" w:rsidR="00F243C5" w:rsidRPr="00F243C5" w:rsidRDefault="00F243C5" w:rsidP="00F243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243C5">
        <w:rPr>
          <w:rFonts w:ascii="Times New Roman" w:eastAsia="Times New Roman" w:hAnsi="Times New Roman" w:cs="Times New Roman"/>
          <w:b/>
          <w:bCs/>
          <w:color w:val="000000"/>
          <w:kern w:val="0"/>
          <w:sz w:val="27"/>
          <w:szCs w:val="27"/>
          <w14:ligatures w14:val="none"/>
        </w:rPr>
        <w:t>3.1. Justificación del método</w:t>
      </w:r>
    </w:p>
    <w:p w14:paraId="0480D441"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La razón práctica no puede imponerse desde afuera; debe formarse desde adentro. La educación moral kantiana no consiste en inculcar doctrinas, sino en disciplinar las inclinaciones, fortalecer la autonomía y despertar la conciencia del deber.</w:t>
      </w:r>
    </w:p>
    <w:p w14:paraId="5D5B65F4" w14:textId="77777777" w:rsidR="00F243C5" w:rsidRPr="00F243C5" w:rsidRDefault="00F243C5" w:rsidP="00F243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243C5">
        <w:rPr>
          <w:rFonts w:ascii="Times New Roman" w:eastAsia="Times New Roman" w:hAnsi="Times New Roman" w:cs="Times New Roman"/>
          <w:b/>
          <w:bCs/>
          <w:color w:val="000000"/>
          <w:kern w:val="0"/>
          <w:sz w:val="27"/>
          <w:szCs w:val="27"/>
          <w14:ligatures w14:val="none"/>
        </w:rPr>
        <w:t>3.2. Estructura del método terapéutico</w:t>
      </w:r>
    </w:p>
    <w:p w14:paraId="16631F27"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El método propuesto se articula en tres etapas:</w:t>
      </w:r>
    </w:p>
    <w:p w14:paraId="73AEE904" w14:textId="77777777" w:rsidR="00F243C5" w:rsidRPr="00F243C5" w:rsidRDefault="00F243C5" w:rsidP="00F243C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b/>
          <w:bCs/>
          <w:color w:val="000000"/>
          <w:kern w:val="0"/>
          <w14:ligatures w14:val="none"/>
        </w:rPr>
        <w:t>Disciplina del carácter</w:t>
      </w:r>
    </w:p>
    <w:p w14:paraId="182E3418" w14:textId="77777777" w:rsidR="00F243C5" w:rsidRPr="00F243C5" w:rsidRDefault="00F243C5" w:rsidP="00F243C5">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lastRenderedPageBreak/>
        <w:t>Identificar inclinaciones que desvían del deber.</w:t>
      </w:r>
    </w:p>
    <w:p w14:paraId="3F9136F0" w14:textId="77777777" w:rsidR="00F243C5" w:rsidRPr="00F243C5" w:rsidRDefault="00F243C5" w:rsidP="00F243C5">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Introducir hábitos de autocontrol.</w:t>
      </w:r>
    </w:p>
    <w:p w14:paraId="40F57432" w14:textId="77777777" w:rsidR="00F243C5" w:rsidRPr="00F243C5" w:rsidRDefault="00F243C5" w:rsidP="00F243C5">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Sustituir motivaciones heterónomas por respeto a la ley moral.</w:t>
      </w:r>
    </w:p>
    <w:p w14:paraId="2377884B" w14:textId="77777777" w:rsidR="00F243C5" w:rsidRPr="00F243C5" w:rsidRDefault="00F243C5" w:rsidP="00F243C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b/>
          <w:bCs/>
          <w:color w:val="000000"/>
          <w:kern w:val="0"/>
          <w14:ligatures w14:val="none"/>
        </w:rPr>
        <w:t>Purificación del afecto</w:t>
      </w:r>
    </w:p>
    <w:p w14:paraId="3BB46ED4" w14:textId="77777777" w:rsidR="00F243C5" w:rsidRPr="00F243C5" w:rsidRDefault="00F243C5" w:rsidP="00F243C5">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Regular emociones mediante reflexión.</w:t>
      </w:r>
    </w:p>
    <w:p w14:paraId="140C7CBB" w14:textId="77777777" w:rsidR="00F243C5" w:rsidRPr="00F243C5" w:rsidRDefault="00F243C5" w:rsidP="00F243C5">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Desarrollar empatía kantiana: no sentimental, sino racional.</w:t>
      </w:r>
    </w:p>
    <w:p w14:paraId="3E19D0E0" w14:textId="77777777" w:rsidR="00F243C5" w:rsidRPr="00F243C5" w:rsidRDefault="00F243C5" w:rsidP="00F243C5">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Transformar el deseo en voluntad orientada al bien universal.</w:t>
      </w:r>
    </w:p>
    <w:p w14:paraId="7F6EEB07" w14:textId="77777777" w:rsidR="00F243C5" w:rsidRPr="00F243C5" w:rsidRDefault="00F243C5" w:rsidP="00F243C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b/>
          <w:bCs/>
          <w:color w:val="000000"/>
          <w:kern w:val="0"/>
          <w14:ligatures w14:val="none"/>
        </w:rPr>
        <w:t>Despertar de la razón trascendental</w:t>
      </w:r>
    </w:p>
    <w:p w14:paraId="5D3B5A96" w14:textId="77777777" w:rsidR="00F243C5" w:rsidRPr="00F243C5" w:rsidRDefault="00F243C5" w:rsidP="00F243C5">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Reconocer la libertad como fundamento nouménico.</w:t>
      </w:r>
    </w:p>
    <w:p w14:paraId="490F0DAD" w14:textId="77777777" w:rsidR="00F243C5" w:rsidRPr="00F243C5" w:rsidRDefault="00F243C5" w:rsidP="00F243C5">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Comprender que la dignidad no depende de condiciones empíricas.</w:t>
      </w:r>
    </w:p>
    <w:p w14:paraId="618C6FE0" w14:textId="77777777" w:rsidR="00F243C5" w:rsidRPr="00F243C5" w:rsidRDefault="00F243C5" w:rsidP="00F243C5">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Adquirir conciencia de sí como legislador universal.</w:t>
      </w:r>
    </w:p>
    <w:p w14:paraId="63ACCFE5" w14:textId="77777777" w:rsidR="00F243C5" w:rsidRPr="00F243C5" w:rsidRDefault="00332CD8" w:rsidP="00F243C5">
      <w:pPr>
        <w:spacing w:after="0" w:line="240" w:lineRule="auto"/>
        <w:rPr>
          <w:rFonts w:ascii="Times New Roman" w:eastAsia="Times New Roman" w:hAnsi="Times New Roman" w:cs="Times New Roman"/>
          <w:kern w:val="0"/>
          <w14:ligatures w14:val="none"/>
        </w:rPr>
      </w:pPr>
      <w:r w:rsidRPr="00332CD8">
        <w:rPr>
          <w:rFonts w:ascii="Times New Roman" w:eastAsia="Times New Roman" w:hAnsi="Times New Roman" w:cs="Times New Roman"/>
          <w:noProof/>
          <w:kern w:val="0"/>
        </w:rPr>
        <w:pict w14:anchorId="155EB0C1">
          <v:rect id="_x0000_i1030" alt="" style="width:468pt;height:.05pt;mso-width-percent:0;mso-height-percent:0;mso-width-percent:0;mso-height-percent:0" o:hralign="center" o:hrstd="t" o:hr="t" fillcolor="#a0a0a0" stroked="f"/>
        </w:pict>
      </w:r>
    </w:p>
    <w:p w14:paraId="77B07721" w14:textId="77777777" w:rsidR="00F243C5" w:rsidRPr="00F243C5" w:rsidRDefault="00F243C5" w:rsidP="00F243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243C5">
        <w:rPr>
          <w:rFonts w:ascii="Times New Roman" w:eastAsia="Times New Roman" w:hAnsi="Times New Roman" w:cs="Times New Roman"/>
          <w:b/>
          <w:bCs/>
          <w:color w:val="000000"/>
          <w:kern w:val="0"/>
          <w:sz w:val="36"/>
          <w:szCs w:val="36"/>
          <w14:ligatures w14:val="none"/>
        </w:rPr>
        <w:t>4. Afectos racionales y artes formativas: hacia una estética moral</w:t>
      </w:r>
    </w:p>
    <w:p w14:paraId="47D71F41" w14:textId="77777777" w:rsidR="00F243C5" w:rsidRPr="00F243C5" w:rsidRDefault="00F243C5" w:rsidP="00F243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243C5">
        <w:rPr>
          <w:rFonts w:ascii="Times New Roman" w:eastAsia="Times New Roman" w:hAnsi="Times New Roman" w:cs="Times New Roman"/>
          <w:b/>
          <w:bCs/>
          <w:color w:val="000000"/>
          <w:kern w:val="0"/>
          <w:sz w:val="27"/>
          <w:szCs w:val="27"/>
          <w14:ligatures w14:val="none"/>
        </w:rPr>
        <w:t>4.1. El papel de las artes</w:t>
      </w:r>
    </w:p>
    <w:p w14:paraId="22D6DA9B"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Las artes moldean la sensibilidad y pueden orientar los afectos hacia disposiciones acordes con la razón práctica. No se trata de moralizar el arte, sino de permitir que el arte eduque la receptividad hacia lo noble, lo armónico y lo universal.</w:t>
      </w:r>
    </w:p>
    <w:p w14:paraId="278D258E" w14:textId="77777777" w:rsidR="00F243C5" w:rsidRPr="00F243C5" w:rsidRDefault="00F243C5" w:rsidP="00F243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243C5">
        <w:rPr>
          <w:rFonts w:ascii="Times New Roman" w:eastAsia="Times New Roman" w:hAnsi="Times New Roman" w:cs="Times New Roman"/>
          <w:b/>
          <w:bCs/>
          <w:color w:val="000000"/>
          <w:kern w:val="0"/>
          <w:sz w:val="27"/>
          <w:szCs w:val="27"/>
          <w14:ligatures w14:val="none"/>
        </w:rPr>
        <w:t>4.2. Pautas estéticas prácticas</w:t>
      </w:r>
    </w:p>
    <w:p w14:paraId="6CE689BB" w14:textId="77777777" w:rsidR="00F243C5" w:rsidRPr="00F243C5" w:rsidRDefault="00F243C5" w:rsidP="00F243C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Cultivo de formas que expresen armonía y proporción.</w:t>
      </w:r>
    </w:p>
    <w:p w14:paraId="633EC045" w14:textId="77777777" w:rsidR="00F243C5" w:rsidRPr="00F243C5" w:rsidRDefault="00F243C5" w:rsidP="00F243C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Música que favorezca concentración, serenidad y orden interior.</w:t>
      </w:r>
    </w:p>
    <w:p w14:paraId="79630223" w14:textId="77777777" w:rsidR="00F243C5" w:rsidRPr="00F243C5" w:rsidRDefault="00F243C5" w:rsidP="00F243C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Literatura que represente ideales de virtud, justicia y dignidad.</w:t>
      </w:r>
    </w:p>
    <w:p w14:paraId="6655E835" w14:textId="77777777" w:rsidR="00F243C5" w:rsidRPr="00F243C5" w:rsidRDefault="00F243C5" w:rsidP="00F243C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Arquitectura orientada a la claridad, la simetría y la luz.</w:t>
      </w:r>
    </w:p>
    <w:p w14:paraId="08BA1DE3" w14:textId="77777777" w:rsidR="00F243C5" w:rsidRPr="00F243C5" w:rsidRDefault="00332CD8" w:rsidP="00F243C5">
      <w:pPr>
        <w:spacing w:after="0" w:line="240" w:lineRule="auto"/>
        <w:rPr>
          <w:rFonts w:ascii="Times New Roman" w:eastAsia="Times New Roman" w:hAnsi="Times New Roman" w:cs="Times New Roman"/>
          <w:kern w:val="0"/>
          <w14:ligatures w14:val="none"/>
        </w:rPr>
      </w:pPr>
      <w:r w:rsidRPr="00332CD8">
        <w:rPr>
          <w:rFonts w:ascii="Times New Roman" w:eastAsia="Times New Roman" w:hAnsi="Times New Roman" w:cs="Times New Roman"/>
          <w:noProof/>
          <w:kern w:val="0"/>
        </w:rPr>
        <w:pict w14:anchorId="44177538">
          <v:rect id="_x0000_i1029" alt="" style="width:468pt;height:.05pt;mso-width-percent:0;mso-height-percent:0;mso-width-percent:0;mso-height-percent:0" o:hralign="center" o:hrstd="t" o:hr="t" fillcolor="#a0a0a0" stroked="f"/>
        </w:pict>
      </w:r>
    </w:p>
    <w:p w14:paraId="67193EC4" w14:textId="77777777" w:rsidR="00F243C5" w:rsidRPr="00F243C5" w:rsidRDefault="00F243C5" w:rsidP="00F243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243C5">
        <w:rPr>
          <w:rFonts w:ascii="Times New Roman" w:eastAsia="Times New Roman" w:hAnsi="Times New Roman" w:cs="Times New Roman"/>
          <w:b/>
          <w:bCs/>
          <w:color w:val="000000"/>
          <w:kern w:val="0"/>
          <w:sz w:val="36"/>
          <w:szCs w:val="36"/>
          <w14:ligatures w14:val="none"/>
        </w:rPr>
        <w:t>5. Pitagorismo como estética kantiana</w:t>
      </w:r>
    </w:p>
    <w:p w14:paraId="4E89D2F9"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La doctrina pitagórica provee un complemento estético-natural a la moral kantiana:</w:t>
      </w:r>
    </w:p>
    <w:p w14:paraId="186F7845" w14:textId="77777777" w:rsidR="00F243C5" w:rsidRPr="00F243C5" w:rsidRDefault="00F243C5" w:rsidP="00F243C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La armonía numérica modela la interioridad humana mediante proporción.</w:t>
      </w:r>
    </w:p>
    <w:p w14:paraId="0765B26E" w14:textId="77777777" w:rsidR="00F243C5" w:rsidRPr="00F243C5" w:rsidRDefault="00F243C5" w:rsidP="00F243C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El cosmos ordenado funciona como imagen simbólica de la ley moral.</w:t>
      </w:r>
    </w:p>
    <w:p w14:paraId="637AE4C0" w14:textId="77777777" w:rsidR="00F243C5" w:rsidRPr="00F243C5" w:rsidRDefault="00F243C5" w:rsidP="00F243C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El estudio musical y matemático disciplina las pasiones y el intelecto.</w:t>
      </w:r>
    </w:p>
    <w:p w14:paraId="7CA67BD4"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Así, el pitagorismo se convierte en </w:t>
      </w:r>
      <w:r w:rsidRPr="00F243C5">
        <w:rPr>
          <w:rFonts w:ascii="Times New Roman" w:eastAsia="Times New Roman" w:hAnsi="Times New Roman" w:cs="Times New Roman"/>
          <w:b/>
          <w:bCs/>
          <w:color w:val="000000"/>
          <w:kern w:val="0"/>
          <w14:ligatures w14:val="none"/>
        </w:rPr>
        <w:t>estética trascendental aplicada</w:t>
      </w:r>
      <w:r w:rsidRPr="00F243C5">
        <w:rPr>
          <w:rFonts w:ascii="Times New Roman" w:eastAsia="Times New Roman" w:hAnsi="Times New Roman" w:cs="Times New Roman"/>
          <w:color w:val="000000"/>
          <w:kern w:val="0"/>
          <w14:ligatures w14:val="none"/>
        </w:rPr>
        <w:t>, una vía de purificación afectiva que converge con la formación moral kantiana.</w:t>
      </w:r>
    </w:p>
    <w:p w14:paraId="19E96B4E" w14:textId="77777777" w:rsidR="00F243C5" w:rsidRPr="00F243C5" w:rsidRDefault="00332CD8" w:rsidP="00F243C5">
      <w:pPr>
        <w:spacing w:after="0" w:line="240" w:lineRule="auto"/>
        <w:rPr>
          <w:rFonts w:ascii="Times New Roman" w:eastAsia="Times New Roman" w:hAnsi="Times New Roman" w:cs="Times New Roman"/>
          <w:kern w:val="0"/>
          <w14:ligatures w14:val="none"/>
        </w:rPr>
      </w:pPr>
      <w:r w:rsidRPr="00332CD8">
        <w:rPr>
          <w:rFonts w:ascii="Times New Roman" w:eastAsia="Times New Roman" w:hAnsi="Times New Roman" w:cs="Times New Roman"/>
          <w:noProof/>
          <w:kern w:val="0"/>
        </w:rPr>
        <w:pict w14:anchorId="047B5D58">
          <v:rect id="_x0000_i1028" alt="" style="width:468pt;height:.05pt;mso-width-percent:0;mso-height-percent:0;mso-width-percent:0;mso-height-percent:0" o:hralign="center" o:hrstd="t" o:hr="t" fillcolor="#a0a0a0" stroked="f"/>
        </w:pict>
      </w:r>
    </w:p>
    <w:p w14:paraId="2AC64968" w14:textId="77777777" w:rsidR="00F243C5" w:rsidRPr="00F243C5" w:rsidRDefault="00F243C5" w:rsidP="00F243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243C5">
        <w:rPr>
          <w:rFonts w:ascii="Times New Roman" w:eastAsia="Times New Roman" w:hAnsi="Times New Roman" w:cs="Times New Roman"/>
          <w:b/>
          <w:bCs/>
          <w:color w:val="000000"/>
          <w:kern w:val="0"/>
          <w:sz w:val="36"/>
          <w:szCs w:val="36"/>
          <w14:ligatures w14:val="none"/>
        </w:rPr>
        <w:lastRenderedPageBreak/>
        <w:t>6. La vía racional ascética del platonismo e idealismo</w:t>
      </w:r>
    </w:p>
    <w:p w14:paraId="13FAEBDB"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El platonismo, el neoplatonismo y el idealismo alemán presentan la vida filosófica como un proceso de ascenso:</w:t>
      </w:r>
    </w:p>
    <w:p w14:paraId="1C36F891" w14:textId="77777777" w:rsidR="00F243C5" w:rsidRPr="00F243C5" w:rsidRDefault="00F243C5" w:rsidP="00F243C5">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Purificación de deseos inferiores.</w:t>
      </w:r>
    </w:p>
    <w:p w14:paraId="03EA9B83" w14:textId="77777777" w:rsidR="00F243C5" w:rsidRPr="00F243C5" w:rsidRDefault="00F243C5" w:rsidP="00F243C5">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Contemplación de lo inteligible.</w:t>
      </w:r>
    </w:p>
    <w:p w14:paraId="5A5C92FB" w14:textId="77777777" w:rsidR="00F243C5" w:rsidRPr="00F243C5" w:rsidRDefault="00F243C5" w:rsidP="00F243C5">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Identificación progresiva con el Bien o la Razón universal.</w:t>
      </w:r>
    </w:p>
    <w:p w14:paraId="2C7F8F56"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El ascetismo racional platónico coincide con la autonomía kantiana: la virtud no consiste en obedecer mandatos externos, sino en elevar la voluntad hasta la conformidad con un principio universal.</w:t>
      </w:r>
    </w:p>
    <w:p w14:paraId="34AA9C27" w14:textId="77777777" w:rsidR="00F243C5" w:rsidRPr="00F243C5" w:rsidRDefault="00332CD8" w:rsidP="00F243C5">
      <w:pPr>
        <w:spacing w:after="0" w:line="240" w:lineRule="auto"/>
        <w:rPr>
          <w:rFonts w:ascii="Times New Roman" w:eastAsia="Times New Roman" w:hAnsi="Times New Roman" w:cs="Times New Roman"/>
          <w:kern w:val="0"/>
          <w14:ligatures w14:val="none"/>
        </w:rPr>
      </w:pPr>
      <w:r w:rsidRPr="00332CD8">
        <w:rPr>
          <w:rFonts w:ascii="Times New Roman" w:eastAsia="Times New Roman" w:hAnsi="Times New Roman" w:cs="Times New Roman"/>
          <w:noProof/>
          <w:kern w:val="0"/>
        </w:rPr>
        <w:pict w14:anchorId="525EF627">
          <v:rect id="_x0000_i1027" alt="" style="width:468pt;height:.05pt;mso-width-percent:0;mso-height-percent:0;mso-width-percent:0;mso-height-percent:0" o:hralign="center" o:hrstd="t" o:hr="t" fillcolor="#a0a0a0" stroked="f"/>
        </w:pict>
      </w:r>
    </w:p>
    <w:p w14:paraId="103549B4" w14:textId="77777777" w:rsidR="00F243C5" w:rsidRPr="00F243C5" w:rsidRDefault="00F243C5" w:rsidP="00F243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243C5">
        <w:rPr>
          <w:rFonts w:ascii="Times New Roman" w:eastAsia="Times New Roman" w:hAnsi="Times New Roman" w:cs="Times New Roman"/>
          <w:b/>
          <w:bCs/>
          <w:color w:val="000000"/>
          <w:kern w:val="0"/>
          <w:sz w:val="36"/>
          <w:szCs w:val="36"/>
          <w14:ligatures w14:val="none"/>
        </w:rPr>
        <w:t>7. Convergencia doctrinal entre cristianismo, tomismo, aristotelismo y kantismo</w:t>
      </w:r>
    </w:p>
    <w:p w14:paraId="67594772"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Diversas tradiciones éticas comparten una estructura profunda común:</w:t>
      </w:r>
    </w:p>
    <w:p w14:paraId="6716BE13" w14:textId="77777777" w:rsidR="00F243C5" w:rsidRPr="00F243C5" w:rsidRDefault="00F243C5" w:rsidP="00F243C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El cristianismo postula el amor universal y la dignidad igual de todos.</w:t>
      </w:r>
    </w:p>
    <w:p w14:paraId="6E86BAB0" w14:textId="77777777" w:rsidR="00F243C5" w:rsidRPr="00F243C5" w:rsidRDefault="00F243C5" w:rsidP="00F243C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Aristóteles destaca la formación de hábitos virtuosos en comunidad.</w:t>
      </w:r>
    </w:p>
    <w:p w14:paraId="41B4DF55" w14:textId="77777777" w:rsidR="00F243C5" w:rsidRPr="00F243C5" w:rsidRDefault="00F243C5" w:rsidP="00F243C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Tomás de Aquino sintetiza razón, virtud y orden común.</w:t>
      </w:r>
    </w:p>
    <w:p w14:paraId="52E8A136" w14:textId="77777777" w:rsidR="00F243C5" w:rsidRPr="00F243C5" w:rsidRDefault="00F243C5" w:rsidP="00F243C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Kant formaliza estos principios como ley moral universal.</w:t>
      </w:r>
    </w:p>
    <w:p w14:paraId="417D6C95"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Estas tradiciones coinciden en la idea de que el ser humano alcanza su perfección moral mediante la autodisciplina, la caridad racional, la justicia y la voluntad orientada al bien universal.</w:t>
      </w:r>
    </w:p>
    <w:p w14:paraId="03BB736A" w14:textId="77777777" w:rsidR="00F243C5" w:rsidRPr="00F243C5" w:rsidRDefault="00332CD8" w:rsidP="00F243C5">
      <w:pPr>
        <w:spacing w:after="0" w:line="240" w:lineRule="auto"/>
        <w:rPr>
          <w:rFonts w:ascii="Times New Roman" w:eastAsia="Times New Roman" w:hAnsi="Times New Roman" w:cs="Times New Roman"/>
          <w:kern w:val="0"/>
          <w14:ligatures w14:val="none"/>
        </w:rPr>
      </w:pPr>
      <w:r w:rsidRPr="00332CD8">
        <w:rPr>
          <w:rFonts w:ascii="Times New Roman" w:eastAsia="Times New Roman" w:hAnsi="Times New Roman" w:cs="Times New Roman"/>
          <w:noProof/>
          <w:kern w:val="0"/>
        </w:rPr>
        <w:pict w14:anchorId="177F6D45">
          <v:rect id="_x0000_i1026" alt="" style="width:468pt;height:.05pt;mso-width-percent:0;mso-height-percent:0;mso-width-percent:0;mso-height-percent:0" o:hralign="center" o:hrstd="t" o:hr="t" fillcolor="#a0a0a0" stroked="f"/>
        </w:pict>
      </w:r>
    </w:p>
    <w:p w14:paraId="49475078" w14:textId="77777777" w:rsidR="00F243C5" w:rsidRPr="00F243C5" w:rsidRDefault="00F243C5" w:rsidP="00F243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243C5">
        <w:rPr>
          <w:rFonts w:ascii="Times New Roman" w:eastAsia="Times New Roman" w:hAnsi="Times New Roman" w:cs="Times New Roman"/>
          <w:b/>
          <w:bCs/>
          <w:color w:val="000000"/>
          <w:kern w:val="0"/>
          <w:sz w:val="36"/>
          <w:szCs w:val="36"/>
          <w14:ligatures w14:val="none"/>
        </w:rPr>
        <w:t>8. Hacia una utopía socialista y libre</w:t>
      </w:r>
    </w:p>
    <w:p w14:paraId="4FE6F6D1" w14:textId="77777777" w:rsidR="00F243C5" w:rsidRPr="00F243C5" w:rsidRDefault="00F243C5" w:rsidP="00F243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243C5">
        <w:rPr>
          <w:rFonts w:ascii="Times New Roman" w:eastAsia="Times New Roman" w:hAnsi="Times New Roman" w:cs="Times New Roman"/>
          <w:b/>
          <w:bCs/>
          <w:color w:val="000000"/>
          <w:kern w:val="0"/>
          <w:sz w:val="27"/>
          <w:szCs w:val="27"/>
          <w14:ligatures w14:val="none"/>
        </w:rPr>
        <w:t>8.1. Definición del ideal</w:t>
      </w:r>
    </w:p>
    <w:p w14:paraId="6A9786FD"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La convergencia de estas tradiciones desemboca en un ideal social caracterizado por:</w:t>
      </w:r>
    </w:p>
    <w:p w14:paraId="52229AA9" w14:textId="77777777" w:rsidR="00F243C5" w:rsidRPr="00F243C5" w:rsidRDefault="00F243C5" w:rsidP="00F243C5">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libertad plena y universal,</w:t>
      </w:r>
    </w:p>
    <w:p w14:paraId="14941DD0" w14:textId="77777777" w:rsidR="00F243C5" w:rsidRPr="00F243C5" w:rsidRDefault="00F243C5" w:rsidP="00F243C5">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cooperación espontánea,</w:t>
      </w:r>
    </w:p>
    <w:p w14:paraId="114874EE" w14:textId="77777777" w:rsidR="00F243C5" w:rsidRPr="00F243C5" w:rsidRDefault="00F243C5" w:rsidP="00F243C5">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justicia distributiva racional,</w:t>
      </w:r>
    </w:p>
    <w:p w14:paraId="23BA8310" w14:textId="77777777" w:rsidR="00F243C5" w:rsidRPr="00F243C5" w:rsidRDefault="00F243C5" w:rsidP="00F243C5">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ausencia de coerción,</w:t>
      </w:r>
    </w:p>
    <w:p w14:paraId="4542C3EB" w14:textId="77777777" w:rsidR="00F243C5" w:rsidRPr="00F243C5" w:rsidRDefault="00F243C5" w:rsidP="00F243C5">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respeto absoluto a la dignidad de cada individuo.</w:t>
      </w:r>
    </w:p>
    <w:p w14:paraId="2D62F6AC" w14:textId="77777777" w:rsidR="00F243C5" w:rsidRPr="00F243C5" w:rsidRDefault="00F243C5" w:rsidP="00F243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243C5">
        <w:rPr>
          <w:rFonts w:ascii="Times New Roman" w:eastAsia="Times New Roman" w:hAnsi="Times New Roman" w:cs="Times New Roman"/>
          <w:b/>
          <w:bCs/>
          <w:color w:val="000000"/>
          <w:kern w:val="0"/>
          <w:sz w:val="27"/>
          <w:szCs w:val="27"/>
          <w14:ligatures w14:val="none"/>
        </w:rPr>
        <w:t>8.2. Socialismo ético y no coercitivo</w:t>
      </w:r>
    </w:p>
    <w:p w14:paraId="489DF854"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lastRenderedPageBreak/>
        <w:t>Este socialismo no deriva de políticas de fuerza ni de planificación estatal, sino del cumplimiento universal del deber.</w:t>
      </w:r>
      <w:r w:rsidRPr="00F243C5">
        <w:rPr>
          <w:rFonts w:ascii="Times New Roman" w:eastAsia="Times New Roman" w:hAnsi="Times New Roman" w:cs="Times New Roman"/>
          <w:color w:val="000000"/>
          <w:kern w:val="0"/>
          <w14:ligatures w14:val="none"/>
        </w:rPr>
        <w:br/>
        <w:t>Las estructuras socioeconómicas emergen de la virtud colectiva, no de la imposición:</w:t>
      </w:r>
    </w:p>
    <w:p w14:paraId="6F4C922B"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una sociedad moralmente perfeccionada se organiza espontáneamente de forma igualitaria, justa y fraterna.</w:t>
      </w:r>
    </w:p>
    <w:p w14:paraId="67906BC9" w14:textId="77777777" w:rsidR="00F243C5" w:rsidRPr="00F243C5" w:rsidRDefault="00F243C5" w:rsidP="00F243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243C5">
        <w:rPr>
          <w:rFonts w:ascii="Times New Roman" w:eastAsia="Times New Roman" w:hAnsi="Times New Roman" w:cs="Times New Roman"/>
          <w:b/>
          <w:bCs/>
          <w:color w:val="000000"/>
          <w:kern w:val="0"/>
          <w:sz w:val="27"/>
          <w:szCs w:val="27"/>
          <w14:ligatures w14:val="none"/>
        </w:rPr>
        <w:t>8.3. Superación de la tragedia kantiana</w:t>
      </w:r>
    </w:p>
    <w:p w14:paraId="2A83FB14"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En este orden, la autoridad coercitiva desaparece: todos los sujetos son autónomos, racionales, virtuosos. El Estado se vuelve innecesario y deja de reproducir la inmoralidad que pretendía contener.</w:t>
      </w:r>
    </w:p>
    <w:p w14:paraId="2443E7D0" w14:textId="77777777" w:rsidR="00F243C5" w:rsidRPr="00F243C5" w:rsidRDefault="00332CD8" w:rsidP="00F243C5">
      <w:pPr>
        <w:spacing w:after="0" w:line="240" w:lineRule="auto"/>
        <w:rPr>
          <w:rFonts w:ascii="Times New Roman" w:eastAsia="Times New Roman" w:hAnsi="Times New Roman" w:cs="Times New Roman"/>
          <w:kern w:val="0"/>
          <w14:ligatures w14:val="none"/>
        </w:rPr>
      </w:pPr>
      <w:r w:rsidRPr="00332CD8">
        <w:rPr>
          <w:rFonts w:ascii="Times New Roman" w:eastAsia="Times New Roman" w:hAnsi="Times New Roman" w:cs="Times New Roman"/>
          <w:noProof/>
          <w:kern w:val="0"/>
        </w:rPr>
        <w:pict w14:anchorId="19324332">
          <v:rect id="_x0000_i1025" alt="" style="width:468pt;height:.05pt;mso-width-percent:0;mso-height-percent:0;mso-width-percent:0;mso-height-percent:0" o:hralign="center" o:hrstd="t" o:hr="t" fillcolor="#a0a0a0" stroked="f"/>
        </w:pict>
      </w:r>
    </w:p>
    <w:p w14:paraId="02062957" w14:textId="77777777" w:rsidR="00F243C5" w:rsidRPr="00F243C5" w:rsidRDefault="00F243C5" w:rsidP="00F243C5">
      <w:pPr>
        <w:pStyle w:val="Heading2"/>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br/>
      </w:r>
      <w:r w:rsidRPr="00F243C5">
        <w:rPr>
          <w:rFonts w:ascii="Times New Roman" w:eastAsia="Times New Roman" w:hAnsi="Times New Roman" w:cs="Times New Roman"/>
          <w:b/>
          <w:bCs/>
          <w:color w:val="000000"/>
          <w:kern w:val="0"/>
          <w:sz w:val="36"/>
          <w:szCs w:val="36"/>
          <w14:ligatures w14:val="none"/>
        </w:rPr>
        <w:t>9. Temeridad, poder interior y educación guerrera como fundamento de la elección moral</w:t>
      </w:r>
    </w:p>
    <w:p w14:paraId="416CB32A"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En la estructura ética aquí presentada, la </w:t>
      </w:r>
      <w:r w:rsidRPr="00F243C5">
        <w:rPr>
          <w:rFonts w:ascii="Times New Roman" w:eastAsia="Times New Roman" w:hAnsi="Times New Roman" w:cs="Times New Roman"/>
          <w:b/>
          <w:bCs/>
          <w:color w:val="000000"/>
          <w:kern w:val="0"/>
          <w14:ligatures w14:val="none"/>
        </w:rPr>
        <w:t>temeridad</w:t>
      </w:r>
      <w:r w:rsidRPr="00F243C5">
        <w:rPr>
          <w:rFonts w:ascii="Times New Roman" w:eastAsia="Times New Roman" w:hAnsi="Times New Roman" w:cs="Times New Roman"/>
          <w:color w:val="000000"/>
          <w:kern w:val="0"/>
          <w14:ligatures w14:val="none"/>
        </w:rPr>
        <w:t> cumple un papel decisivo en la constitución de la autonomía práctica. No se trata de la imprudencia irracional o del arrojo ciego, sino de un </w:t>
      </w:r>
      <w:r w:rsidRPr="00F243C5">
        <w:rPr>
          <w:rFonts w:ascii="Times New Roman" w:eastAsia="Times New Roman" w:hAnsi="Times New Roman" w:cs="Times New Roman"/>
          <w:b/>
          <w:bCs/>
          <w:color w:val="000000"/>
          <w:kern w:val="0"/>
          <w14:ligatures w14:val="none"/>
        </w:rPr>
        <w:t>sentimiento de poder interior</w:t>
      </w:r>
      <w:r w:rsidRPr="00F243C5">
        <w:rPr>
          <w:rFonts w:ascii="Times New Roman" w:eastAsia="Times New Roman" w:hAnsi="Times New Roman" w:cs="Times New Roman"/>
          <w:color w:val="000000"/>
          <w:kern w:val="0"/>
          <w14:ligatures w14:val="none"/>
        </w:rPr>
        <w:t> que permite al individuo constatar que su obediencia a la ley moral </w:t>
      </w:r>
      <w:r w:rsidRPr="00F243C5">
        <w:rPr>
          <w:rFonts w:ascii="Times New Roman" w:eastAsia="Times New Roman" w:hAnsi="Times New Roman" w:cs="Times New Roman"/>
          <w:b/>
          <w:bCs/>
          <w:color w:val="000000"/>
          <w:kern w:val="0"/>
          <w14:ligatures w14:val="none"/>
        </w:rPr>
        <w:t>no proviene del temor</w:t>
      </w:r>
      <w:r w:rsidRPr="00F243C5">
        <w:rPr>
          <w:rFonts w:ascii="Times New Roman" w:eastAsia="Times New Roman" w:hAnsi="Times New Roman" w:cs="Times New Roman"/>
          <w:color w:val="000000"/>
          <w:kern w:val="0"/>
          <w14:ligatures w14:val="none"/>
        </w:rPr>
        <w:t>, sino de la </w:t>
      </w:r>
      <w:r w:rsidRPr="00F243C5">
        <w:rPr>
          <w:rFonts w:ascii="Times New Roman" w:eastAsia="Times New Roman" w:hAnsi="Times New Roman" w:cs="Times New Roman"/>
          <w:b/>
          <w:bCs/>
          <w:color w:val="000000"/>
          <w:kern w:val="0"/>
          <w14:ligatures w14:val="none"/>
        </w:rPr>
        <w:t>libre sumisión al deber</w:t>
      </w:r>
      <w:r w:rsidRPr="00F243C5">
        <w:rPr>
          <w:rFonts w:ascii="Times New Roman" w:eastAsia="Times New Roman" w:hAnsi="Times New Roman" w:cs="Times New Roman"/>
          <w:color w:val="000000"/>
          <w:kern w:val="0"/>
          <w14:ligatures w14:val="none"/>
        </w:rPr>
        <w:t>.</w:t>
      </w:r>
    </w:p>
    <w:p w14:paraId="022233D2"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Kant ya indicaba que la virtud solo puede manifestarse cuando la voluntad es capaz de resistir las inclinaciones y fuerzas externas que podrían doblegarla. Sin embargo, para que esta resistencia sea auténticamente moral y no mero miedo, el sujeto debe poder discernir entre:</w:t>
      </w:r>
    </w:p>
    <w:p w14:paraId="752AB66F" w14:textId="77777777" w:rsidR="00F243C5" w:rsidRPr="00F243C5" w:rsidRDefault="00F243C5" w:rsidP="00F243C5">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b/>
          <w:bCs/>
          <w:color w:val="000000"/>
          <w:kern w:val="0"/>
          <w14:ligatures w14:val="none"/>
        </w:rPr>
        <w:t>Obedecer por temor</w:t>
      </w:r>
      <w:r w:rsidRPr="00F243C5">
        <w:rPr>
          <w:rFonts w:ascii="Times New Roman" w:eastAsia="Times New Roman" w:hAnsi="Times New Roman" w:cs="Times New Roman"/>
          <w:color w:val="000000"/>
          <w:kern w:val="0"/>
          <w14:ligatures w14:val="none"/>
        </w:rPr>
        <w:t> —lo cual es heteronomía—, y</w:t>
      </w:r>
    </w:p>
    <w:p w14:paraId="02A5B48B" w14:textId="77777777" w:rsidR="00F243C5" w:rsidRPr="00F243C5" w:rsidRDefault="00F243C5" w:rsidP="00F243C5">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b/>
          <w:bCs/>
          <w:color w:val="000000"/>
          <w:kern w:val="0"/>
          <w14:ligatures w14:val="none"/>
        </w:rPr>
        <w:t>Obedecer por respeto a la ley</w:t>
      </w:r>
      <w:r w:rsidRPr="00F243C5">
        <w:rPr>
          <w:rFonts w:ascii="Times New Roman" w:eastAsia="Times New Roman" w:hAnsi="Times New Roman" w:cs="Times New Roman"/>
          <w:color w:val="000000"/>
          <w:kern w:val="0"/>
          <w14:ligatures w14:val="none"/>
        </w:rPr>
        <w:t> —lo cual es autonomía.</w:t>
      </w:r>
    </w:p>
    <w:p w14:paraId="2A0BF869"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La </w:t>
      </w:r>
      <w:r w:rsidRPr="00F243C5">
        <w:rPr>
          <w:rFonts w:ascii="Times New Roman" w:eastAsia="Times New Roman" w:hAnsi="Times New Roman" w:cs="Times New Roman"/>
          <w:b/>
          <w:bCs/>
          <w:color w:val="000000"/>
          <w:kern w:val="0"/>
          <w14:ligatures w14:val="none"/>
        </w:rPr>
        <w:t>temeridad moral</w:t>
      </w:r>
      <w:r w:rsidRPr="00F243C5">
        <w:rPr>
          <w:rFonts w:ascii="Times New Roman" w:eastAsia="Times New Roman" w:hAnsi="Times New Roman" w:cs="Times New Roman"/>
          <w:color w:val="000000"/>
          <w:kern w:val="0"/>
          <w14:ligatures w14:val="none"/>
        </w:rPr>
        <w:t> —entendida como coraje disciplinado y no como impulsividad— funciona así como un criterio práctico:</w:t>
      </w:r>
    </w:p>
    <w:p w14:paraId="2845ABAA"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solo quien sabe que puede enfrentarse al peligro sin ceder al miedo, puede reconocer que su obediencia es un acto racional y no una reacción impulsada por la cobardía.</w:t>
      </w:r>
    </w:p>
    <w:p w14:paraId="13D7693C" w14:textId="77777777" w:rsidR="00F243C5" w:rsidRPr="00F243C5" w:rsidRDefault="00F243C5" w:rsidP="00F243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243C5">
        <w:rPr>
          <w:rFonts w:ascii="Times New Roman" w:eastAsia="Times New Roman" w:hAnsi="Times New Roman" w:cs="Times New Roman"/>
          <w:b/>
          <w:bCs/>
          <w:color w:val="000000"/>
          <w:kern w:val="0"/>
          <w:sz w:val="27"/>
          <w:szCs w:val="27"/>
          <w14:ligatures w14:val="none"/>
        </w:rPr>
        <w:t>9.1. La necesidad del entrenamiento guerrero</w:t>
      </w:r>
    </w:p>
    <w:p w14:paraId="49ECD96B"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Desde esta perspectiva, el </w:t>
      </w:r>
      <w:r w:rsidRPr="00F243C5">
        <w:rPr>
          <w:rFonts w:ascii="Times New Roman" w:eastAsia="Times New Roman" w:hAnsi="Times New Roman" w:cs="Times New Roman"/>
          <w:b/>
          <w:bCs/>
          <w:color w:val="000000"/>
          <w:kern w:val="0"/>
          <w14:ligatures w14:val="none"/>
        </w:rPr>
        <w:t>entrenamiento guerrero de los ciudadanos</w:t>
      </w:r>
      <w:r w:rsidRPr="00F243C5">
        <w:rPr>
          <w:rFonts w:ascii="Times New Roman" w:eastAsia="Times New Roman" w:hAnsi="Times New Roman" w:cs="Times New Roman"/>
          <w:color w:val="000000"/>
          <w:kern w:val="0"/>
          <w14:ligatures w14:val="none"/>
        </w:rPr>
        <w:t> adquiere un valor formativo central. Se trata, nuevamente, no del fomento de la violencia, sino del cultivo de:</w:t>
      </w:r>
    </w:p>
    <w:p w14:paraId="1E5DC7AC" w14:textId="77777777" w:rsidR="00F243C5" w:rsidRPr="00F243C5" w:rsidRDefault="00F243C5" w:rsidP="00F243C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fortaleza de espíritu,</w:t>
      </w:r>
    </w:p>
    <w:p w14:paraId="0EC1D73F" w14:textId="77777777" w:rsidR="00F243C5" w:rsidRPr="00F243C5" w:rsidRDefault="00F243C5" w:rsidP="00F243C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dominio de sí,</w:t>
      </w:r>
    </w:p>
    <w:p w14:paraId="3D6B437C" w14:textId="77777777" w:rsidR="00F243C5" w:rsidRPr="00F243C5" w:rsidRDefault="00F243C5" w:rsidP="00F243C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lastRenderedPageBreak/>
        <w:t>estabilidad emocional ante la adversidad,</w:t>
      </w:r>
    </w:p>
    <w:p w14:paraId="5708BD58" w14:textId="77777777" w:rsidR="00F243C5" w:rsidRPr="00F243C5" w:rsidRDefault="00F243C5" w:rsidP="00F243C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confianza racional en la propia capacidad de actuar,</w:t>
      </w:r>
    </w:p>
    <w:p w14:paraId="0554B5E2" w14:textId="77777777" w:rsidR="00F243C5" w:rsidRPr="00F243C5" w:rsidRDefault="00F243C5" w:rsidP="00F243C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y la claridad de que la propia vida puede ponerse en riesgo por principios.</w:t>
      </w:r>
    </w:p>
    <w:p w14:paraId="1DD25B92"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El ciudadano formado en el arte de la defensa —sea física, estratégica o simbólica— adquiere una disposición interna que le permite </w:t>
      </w:r>
      <w:r w:rsidRPr="00F243C5">
        <w:rPr>
          <w:rFonts w:ascii="Times New Roman" w:eastAsia="Times New Roman" w:hAnsi="Times New Roman" w:cs="Times New Roman"/>
          <w:b/>
          <w:bCs/>
          <w:color w:val="000000"/>
          <w:kern w:val="0"/>
          <w14:ligatures w14:val="none"/>
        </w:rPr>
        <w:t>elegir la civilidad desde la libertad</w:t>
      </w:r>
      <w:r w:rsidRPr="00F243C5">
        <w:rPr>
          <w:rFonts w:ascii="Times New Roman" w:eastAsia="Times New Roman" w:hAnsi="Times New Roman" w:cs="Times New Roman"/>
          <w:color w:val="000000"/>
          <w:kern w:val="0"/>
          <w14:ligatures w14:val="none"/>
        </w:rPr>
        <w:t>, y no desde la debilidad.</w:t>
      </w:r>
    </w:p>
    <w:p w14:paraId="2A0FB9EC"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En este sentido, la tradición platónica (especialmente en la </w:t>
      </w:r>
      <w:r w:rsidRPr="00F243C5">
        <w:rPr>
          <w:rFonts w:ascii="Times New Roman" w:eastAsia="Times New Roman" w:hAnsi="Times New Roman" w:cs="Times New Roman"/>
          <w:i/>
          <w:iCs/>
          <w:color w:val="000000"/>
          <w:kern w:val="0"/>
          <w14:ligatures w14:val="none"/>
        </w:rPr>
        <w:t>República</w:t>
      </w:r>
      <w:r w:rsidRPr="00F243C5">
        <w:rPr>
          <w:rFonts w:ascii="Times New Roman" w:eastAsia="Times New Roman" w:hAnsi="Times New Roman" w:cs="Times New Roman"/>
          <w:color w:val="000000"/>
          <w:kern w:val="0"/>
          <w14:ligatures w14:val="none"/>
        </w:rPr>
        <w:t>) y la aristotélica coinciden con la kantiana:</w:t>
      </w:r>
      <w:r w:rsidRPr="00F243C5">
        <w:rPr>
          <w:rFonts w:ascii="Times New Roman" w:eastAsia="Times New Roman" w:hAnsi="Times New Roman" w:cs="Times New Roman"/>
          <w:color w:val="000000"/>
          <w:kern w:val="0"/>
          <w14:ligatures w14:val="none"/>
        </w:rPr>
        <w:br/>
        <w:t>solo quien está preparado para la lucha puede escoger la paz por virtud y no por incapacidad.</w:t>
      </w:r>
    </w:p>
    <w:p w14:paraId="385C49F5" w14:textId="77777777" w:rsidR="00F243C5" w:rsidRPr="00F243C5" w:rsidRDefault="00F243C5" w:rsidP="00F243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243C5">
        <w:rPr>
          <w:rFonts w:ascii="Times New Roman" w:eastAsia="Times New Roman" w:hAnsi="Times New Roman" w:cs="Times New Roman"/>
          <w:b/>
          <w:bCs/>
          <w:color w:val="000000"/>
          <w:kern w:val="0"/>
          <w:sz w:val="27"/>
          <w:szCs w:val="27"/>
          <w14:ligatures w14:val="none"/>
        </w:rPr>
        <w:t>9.2. Civilidad como elección fuerte</w:t>
      </w:r>
    </w:p>
    <w:p w14:paraId="478E10D3"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La civilidad, bajo esta luz, no es un estado pasivo ni un refugio de quienes temen el conflicto, sino una </w:t>
      </w:r>
      <w:r w:rsidRPr="00F243C5">
        <w:rPr>
          <w:rFonts w:ascii="Times New Roman" w:eastAsia="Times New Roman" w:hAnsi="Times New Roman" w:cs="Times New Roman"/>
          <w:b/>
          <w:bCs/>
          <w:color w:val="000000"/>
          <w:kern w:val="0"/>
          <w14:ligatures w14:val="none"/>
        </w:rPr>
        <w:t>elección activa</w:t>
      </w:r>
      <w:r w:rsidRPr="00F243C5">
        <w:rPr>
          <w:rFonts w:ascii="Times New Roman" w:eastAsia="Times New Roman" w:hAnsi="Times New Roman" w:cs="Times New Roman"/>
          <w:color w:val="000000"/>
          <w:kern w:val="0"/>
          <w14:ligatures w14:val="none"/>
        </w:rPr>
        <w:t>, hecha por individuos capaces de combatir y de arriesgar, pero que deciden libremente no hacerlo por respeto al orden justo.</w:t>
      </w:r>
    </w:p>
    <w:p w14:paraId="302839CF"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El ciudadano virtuoso debe poseer la fuerza interna capaz de sostener el orden moral sin apoyarse en el miedo ni en la evasión. El entrenamiento guerrero —disciplinado, ético, orientado al autocontrol— se convierte así en un complemento necesario de la educación moral:</w:t>
      </w:r>
    </w:p>
    <w:p w14:paraId="123E74CC"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una sociedad verdaderamente civil solo puede surgir de individuos capaces de luchar, pero que optan voluntariamente por la paz racional.</w:t>
      </w:r>
    </w:p>
    <w:p w14:paraId="01136B3D" w14:textId="77777777" w:rsidR="00F243C5" w:rsidRPr="00F243C5" w:rsidRDefault="00F243C5" w:rsidP="00F243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243C5">
        <w:rPr>
          <w:rFonts w:ascii="Times New Roman" w:eastAsia="Times New Roman" w:hAnsi="Times New Roman" w:cs="Times New Roman"/>
          <w:b/>
          <w:bCs/>
          <w:color w:val="000000"/>
          <w:kern w:val="0"/>
          <w:sz w:val="27"/>
          <w:szCs w:val="27"/>
          <w14:ligatures w14:val="none"/>
        </w:rPr>
        <w:t>9.3. Armonía entre poder y moral</w:t>
      </w:r>
    </w:p>
    <w:p w14:paraId="6105AE51"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Esta integración del coraje disciplinado, el poder interior y la templanza moral refuerza la utopía socialista y libre descrita anteriormente:</w:t>
      </w:r>
      <w:r w:rsidRPr="00F243C5">
        <w:rPr>
          <w:rFonts w:ascii="Times New Roman" w:eastAsia="Times New Roman" w:hAnsi="Times New Roman" w:cs="Times New Roman"/>
          <w:color w:val="000000"/>
          <w:kern w:val="0"/>
          <w14:ligatures w14:val="none"/>
        </w:rPr>
        <w:br/>
        <w:t>solo ciudadanos fuertes y autónomos pueden sostener un orden sin coerción.</w:t>
      </w:r>
      <w:r w:rsidRPr="00F243C5">
        <w:rPr>
          <w:rFonts w:ascii="Times New Roman" w:eastAsia="Times New Roman" w:hAnsi="Times New Roman" w:cs="Times New Roman"/>
          <w:color w:val="000000"/>
          <w:kern w:val="0"/>
          <w14:ligatures w14:val="none"/>
        </w:rPr>
        <w:br/>
        <w:t>El poder interior es condición de la libertad exterior.</w:t>
      </w:r>
    </w:p>
    <w:p w14:paraId="5C20DD38" w14:textId="31FD4B3F" w:rsidR="00F243C5" w:rsidRPr="00F243C5" w:rsidRDefault="00F243C5" w:rsidP="00F243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br/>
      </w:r>
      <w:r>
        <w:rPr>
          <w:rFonts w:ascii="Times New Roman" w:eastAsia="Times New Roman" w:hAnsi="Times New Roman" w:cs="Times New Roman"/>
          <w:b/>
          <w:bCs/>
          <w:color w:val="000000"/>
          <w:kern w:val="0"/>
          <w:sz w:val="36"/>
          <w:szCs w:val="36"/>
          <w14:ligatures w14:val="none"/>
        </w:rPr>
        <w:br/>
      </w:r>
      <w:r w:rsidRPr="00F243C5">
        <w:rPr>
          <w:rFonts w:ascii="Times New Roman" w:eastAsia="Times New Roman" w:hAnsi="Times New Roman" w:cs="Times New Roman"/>
          <w:b/>
          <w:bCs/>
          <w:color w:val="000000"/>
          <w:kern w:val="0"/>
          <w:sz w:val="36"/>
          <w:szCs w:val="36"/>
          <w14:ligatures w14:val="none"/>
        </w:rPr>
        <w:t>Conclusión</w:t>
      </w:r>
    </w:p>
    <w:p w14:paraId="73D39232" w14:textId="77777777" w:rsidR="00F243C5" w:rsidRPr="00F243C5" w:rsidRDefault="00F243C5" w:rsidP="00F243C5">
      <w:pPr>
        <w:spacing w:before="100" w:beforeAutospacing="1" w:after="100" w:afterAutospacing="1" w:line="240" w:lineRule="auto"/>
        <w:rPr>
          <w:rFonts w:ascii="Times New Roman" w:eastAsia="Times New Roman" w:hAnsi="Times New Roman" w:cs="Times New Roman"/>
          <w:color w:val="000000"/>
          <w:kern w:val="0"/>
          <w14:ligatures w14:val="none"/>
        </w:rPr>
      </w:pPr>
      <w:r w:rsidRPr="00F243C5">
        <w:rPr>
          <w:rFonts w:ascii="Times New Roman" w:eastAsia="Times New Roman" w:hAnsi="Times New Roman" w:cs="Times New Roman"/>
          <w:color w:val="000000"/>
          <w:kern w:val="0"/>
          <w14:ligatures w14:val="none"/>
        </w:rPr>
        <w:t>Este artículo muestra que una síntesis profunda entre las grandes tradiciones filosóficas y religiosas —cristianismo, pitagorismo, platonismo, aristotelismo, tomismo, idealismo y kantismo— no solo es posible sino natural cuando se analiza su estructura moral. Todas convergen en una misma visión: la formación del sujeto racional y virtuoso como fundamento de un orden social justo y libre.</w:t>
      </w:r>
      <w:r w:rsidRPr="00F243C5">
        <w:rPr>
          <w:rFonts w:ascii="Times New Roman" w:eastAsia="Times New Roman" w:hAnsi="Times New Roman" w:cs="Times New Roman"/>
          <w:color w:val="000000"/>
          <w:kern w:val="0"/>
          <w14:ligatures w14:val="none"/>
        </w:rPr>
        <w:br/>
        <w:t>La tragedia kantiana, origen de la necesidad del Estado coercitivo, encuentra su superación únicamente en la perfección moral colectiva. De esta transformación surge una </w:t>
      </w:r>
      <w:r w:rsidRPr="00F243C5">
        <w:rPr>
          <w:rFonts w:ascii="Times New Roman" w:eastAsia="Times New Roman" w:hAnsi="Times New Roman" w:cs="Times New Roman"/>
          <w:b/>
          <w:bCs/>
          <w:color w:val="000000"/>
          <w:kern w:val="0"/>
          <w14:ligatures w14:val="none"/>
        </w:rPr>
        <w:t>utopía socialista y libre</w:t>
      </w:r>
      <w:r w:rsidRPr="00F243C5">
        <w:rPr>
          <w:rFonts w:ascii="Times New Roman" w:eastAsia="Times New Roman" w:hAnsi="Times New Roman" w:cs="Times New Roman"/>
          <w:color w:val="000000"/>
          <w:kern w:val="0"/>
          <w14:ligatures w14:val="none"/>
        </w:rPr>
        <w:t>, fundada en la razón y la virtud, donde la libertad no es tolerada sino realizada plenamente en cada individuo.</w:t>
      </w:r>
    </w:p>
    <w:p w14:paraId="041A2E41" w14:textId="77777777" w:rsidR="00354789" w:rsidRDefault="00354789"/>
    <w:sectPr w:rsidR="00354789" w:rsidSect="00C44D93">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A7636"/>
    <w:multiLevelType w:val="multilevel"/>
    <w:tmpl w:val="974E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67023"/>
    <w:multiLevelType w:val="multilevel"/>
    <w:tmpl w:val="7B38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6161A7"/>
    <w:multiLevelType w:val="multilevel"/>
    <w:tmpl w:val="1C36C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AF4C09"/>
    <w:multiLevelType w:val="multilevel"/>
    <w:tmpl w:val="52BE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5D1F03"/>
    <w:multiLevelType w:val="multilevel"/>
    <w:tmpl w:val="CAC8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8325A7"/>
    <w:multiLevelType w:val="multilevel"/>
    <w:tmpl w:val="64A2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DE69C2"/>
    <w:multiLevelType w:val="multilevel"/>
    <w:tmpl w:val="0516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A6093B"/>
    <w:multiLevelType w:val="multilevel"/>
    <w:tmpl w:val="B1187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9871934">
    <w:abstractNumId w:val="7"/>
  </w:num>
  <w:num w:numId="2" w16cid:durableId="1421289932">
    <w:abstractNumId w:val="1"/>
  </w:num>
  <w:num w:numId="3" w16cid:durableId="446196865">
    <w:abstractNumId w:val="4"/>
  </w:num>
  <w:num w:numId="4" w16cid:durableId="47726050">
    <w:abstractNumId w:val="5"/>
  </w:num>
  <w:num w:numId="5" w16cid:durableId="1084910913">
    <w:abstractNumId w:val="3"/>
  </w:num>
  <w:num w:numId="6" w16cid:durableId="1027607583">
    <w:abstractNumId w:val="0"/>
  </w:num>
  <w:num w:numId="7" w16cid:durableId="1960799101">
    <w:abstractNumId w:val="2"/>
  </w:num>
  <w:num w:numId="8" w16cid:durableId="1015819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3C5"/>
    <w:rsid w:val="00332CD8"/>
    <w:rsid w:val="00354789"/>
    <w:rsid w:val="00465DC1"/>
    <w:rsid w:val="00557598"/>
    <w:rsid w:val="0086667F"/>
    <w:rsid w:val="00A813F7"/>
    <w:rsid w:val="00A855DD"/>
    <w:rsid w:val="00C1618E"/>
    <w:rsid w:val="00C44D93"/>
    <w:rsid w:val="00D83A8C"/>
    <w:rsid w:val="00F243C5"/>
    <w:rsid w:val="00F35BA8"/>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7E6E7"/>
  <w15:chartTrackingRefBased/>
  <w15:docId w15:val="{3435A82D-5673-354B-866A-40E90DE86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4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43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3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3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3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43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43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3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3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3C5"/>
    <w:rPr>
      <w:rFonts w:eastAsiaTheme="majorEastAsia" w:cstheme="majorBidi"/>
      <w:color w:val="272727" w:themeColor="text1" w:themeTint="D8"/>
    </w:rPr>
  </w:style>
  <w:style w:type="paragraph" w:styleId="Title">
    <w:name w:val="Title"/>
    <w:basedOn w:val="Normal"/>
    <w:next w:val="Normal"/>
    <w:link w:val="TitleChar"/>
    <w:uiPriority w:val="10"/>
    <w:qFormat/>
    <w:rsid w:val="00F24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3C5"/>
    <w:pPr>
      <w:spacing w:before="160"/>
      <w:jc w:val="center"/>
    </w:pPr>
    <w:rPr>
      <w:i/>
      <w:iCs/>
      <w:color w:val="404040" w:themeColor="text1" w:themeTint="BF"/>
    </w:rPr>
  </w:style>
  <w:style w:type="character" w:customStyle="1" w:styleId="QuoteChar">
    <w:name w:val="Quote Char"/>
    <w:basedOn w:val="DefaultParagraphFont"/>
    <w:link w:val="Quote"/>
    <w:uiPriority w:val="29"/>
    <w:rsid w:val="00F243C5"/>
    <w:rPr>
      <w:i/>
      <w:iCs/>
      <w:color w:val="404040" w:themeColor="text1" w:themeTint="BF"/>
    </w:rPr>
  </w:style>
  <w:style w:type="paragraph" w:styleId="ListParagraph">
    <w:name w:val="List Paragraph"/>
    <w:basedOn w:val="Normal"/>
    <w:uiPriority w:val="34"/>
    <w:qFormat/>
    <w:rsid w:val="00F243C5"/>
    <w:pPr>
      <w:ind w:left="720"/>
      <w:contextualSpacing/>
    </w:pPr>
  </w:style>
  <w:style w:type="character" w:styleId="IntenseEmphasis">
    <w:name w:val="Intense Emphasis"/>
    <w:basedOn w:val="DefaultParagraphFont"/>
    <w:uiPriority w:val="21"/>
    <w:qFormat/>
    <w:rsid w:val="00F243C5"/>
    <w:rPr>
      <w:i/>
      <w:iCs/>
      <w:color w:val="0F4761" w:themeColor="accent1" w:themeShade="BF"/>
    </w:rPr>
  </w:style>
  <w:style w:type="paragraph" w:styleId="IntenseQuote">
    <w:name w:val="Intense Quote"/>
    <w:basedOn w:val="Normal"/>
    <w:next w:val="Normal"/>
    <w:link w:val="IntenseQuoteChar"/>
    <w:uiPriority w:val="30"/>
    <w:qFormat/>
    <w:rsid w:val="00F24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3C5"/>
    <w:rPr>
      <w:i/>
      <w:iCs/>
      <w:color w:val="0F4761" w:themeColor="accent1" w:themeShade="BF"/>
    </w:rPr>
  </w:style>
  <w:style w:type="character" w:styleId="IntenseReference">
    <w:name w:val="Intense Reference"/>
    <w:basedOn w:val="DefaultParagraphFont"/>
    <w:uiPriority w:val="32"/>
    <w:qFormat/>
    <w:rsid w:val="00F243C5"/>
    <w:rPr>
      <w:b/>
      <w:bCs/>
      <w:smallCaps/>
      <w:color w:val="0F4761" w:themeColor="accent1" w:themeShade="BF"/>
      <w:spacing w:val="5"/>
    </w:rPr>
  </w:style>
  <w:style w:type="paragraph" w:styleId="NormalWeb">
    <w:name w:val="Normal (Web)"/>
    <w:basedOn w:val="Normal"/>
    <w:uiPriority w:val="99"/>
    <w:semiHidden/>
    <w:unhideWhenUsed/>
    <w:rsid w:val="00F243C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243C5"/>
    <w:rPr>
      <w:b/>
      <w:bCs/>
    </w:rPr>
  </w:style>
  <w:style w:type="character" w:customStyle="1" w:styleId="apple-converted-space">
    <w:name w:val="apple-converted-space"/>
    <w:basedOn w:val="DefaultParagraphFont"/>
    <w:rsid w:val="00F243C5"/>
  </w:style>
  <w:style w:type="character" w:styleId="Emphasis">
    <w:name w:val="Emphasis"/>
    <w:basedOn w:val="DefaultParagraphFont"/>
    <w:uiPriority w:val="20"/>
    <w:qFormat/>
    <w:rsid w:val="00F243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1734</Words>
  <Characters>9886</Characters>
  <Application>Microsoft Office Word</Application>
  <DocSecurity>0</DocSecurity>
  <Lines>82</Lines>
  <Paragraphs>23</Paragraphs>
  <ScaleCrop>false</ScaleCrop>
  <Company/>
  <LinksUpToDate>false</LinksUpToDate>
  <CharactersWithSpaces>11597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Tomás Ignacio Lavados Sepúlveda</dc:creator>
  <cp:keywords/>
  <dc:description/>
  <cp:lastModifiedBy>Tomás Ignacio Lavados Sepúlveda</cp:lastModifiedBy>
  <cp:revision>3</cp:revision>
  <cp:lastPrinted>2025-12-07T19:42:00Z</cp:lastPrinted>
  <dcterms:created xsi:type="dcterms:W3CDTF">2025-12-07T19:42:00Z</dcterms:created>
  <dcterms:modified xsi:type="dcterms:W3CDTF">2025-12-07T19:42:00Z</dcterms:modified>
</cp:coreProperties>
</file>