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46"/>
          <w:szCs w:val="46"/>
        </w:rPr>
      </w:pPr>
      <w:bookmarkStart w:colFirst="0" w:colLast="0" w:name="_t7xluimvx40q" w:id="0"/>
      <w:bookmarkEnd w:id="0"/>
      <w:r w:rsidDel="00000000" w:rsidR="00000000" w:rsidRPr="00000000">
        <w:rPr>
          <w:b w:val="1"/>
          <w:bCs w:val="1"/>
          <w:rtl w:val="0"/>
        </w:rPr>
        <w:t xml:space="preserve">Cómo modificar Texture (sin morir en el intento) </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hlgol93pb66" w:id="1"/>
      <w:bookmarkEnd w:id="1"/>
      <w:r w:rsidDel="00000000" w:rsidR="00000000" w:rsidRPr="00000000">
        <w:rPr>
          <w:b w:val="1"/>
          <w:bCs w:val="1"/>
          <w:sz w:val="34"/>
          <w:szCs w:val="34"/>
          <w:rtl w:val="0"/>
        </w:rPr>
        <w:t xml:space="preserve">Introducción</w:t>
      </w:r>
    </w:p>
    <w:p w:rsidR="00000000" w:rsidDel="00000000" w:rsidP="00000000" w:rsidRDefault="00000000" w:rsidRPr="00000000" w14:paraId="00000003">
      <w:pPr>
        <w:spacing w:after="240" w:before="240" w:lineRule="auto"/>
        <w:rPr/>
      </w:pPr>
      <w:r w:rsidDel="00000000" w:rsidR="00000000" w:rsidRPr="00000000">
        <w:rPr>
          <w:rtl w:val="0"/>
        </w:rPr>
        <w:t xml:space="preserve">En el marco del trabajo que se realiza en </w:t>
      </w:r>
      <w:r w:rsidDel="00000000" w:rsidR="00000000" w:rsidRPr="00000000">
        <w:rPr>
          <w:rtl w:val="0"/>
        </w:rPr>
        <w:t xml:space="preserve">SUMARC</w:t>
      </w:r>
      <w:r w:rsidDel="00000000" w:rsidR="00000000" w:rsidRPr="00000000">
        <w:rPr>
          <w:rtl w:val="0"/>
        </w:rPr>
        <w:t xml:space="preserve"> para el Servicio de Difusión de la Creación Intelectual (SEDICI) de la Universidad Nacional de La Plata, uno de los ejes centrales es la mejora continua del flujo editorial y de publicación de revistas científicas basadas en Open Journal Systems (OJS). Gran parte de este flujo viene dado por el uso de XML JATS, un</w:t>
      </w:r>
      <w:r w:rsidDel="00000000" w:rsidR="00000000" w:rsidRPr="00000000">
        <w:rPr>
          <w:rtl w:val="0"/>
        </w:rPr>
        <w:t xml:space="preserve"> </w:t>
      </w:r>
      <w:r w:rsidDel="00000000" w:rsidR="00000000" w:rsidRPr="00000000">
        <w:rPr>
          <w:rtl w:val="0"/>
        </w:rPr>
        <w:t xml:space="preserve">estándar internacional basado en XML</w:t>
      </w:r>
      <w:r w:rsidDel="00000000" w:rsidR="00000000" w:rsidRPr="00000000">
        <w:rPr>
          <w:rtl w:val="0"/>
        </w:rPr>
        <w:t xml:space="preserve"> </w:t>
      </w:r>
      <w:r w:rsidDel="00000000" w:rsidR="00000000" w:rsidRPr="00000000">
        <w:rPr>
          <w:rtl w:val="0"/>
        </w:rPr>
        <w:t xml:space="preserve">para estructurar, describir y difundir el contenido de artículos de revistas científicas y académicas</w:t>
      </w:r>
    </w:p>
    <w:p w:rsidR="00000000" w:rsidDel="00000000" w:rsidP="00000000" w:rsidRDefault="00000000" w:rsidRPr="00000000" w14:paraId="00000004">
      <w:pPr>
        <w:spacing w:after="240" w:before="240" w:lineRule="auto"/>
        <w:rPr/>
      </w:pPr>
      <w:r w:rsidDel="00000000" w:rsidR="00000000" w:rsidRPr="00000000">
        <w:rPr>
          <w:rtl w:val="0"/>
        </w:rPr>
        <w:t xml:space="preserve">La adopción de XML JATS en el ámbito científico no responde únicamente a una decisión técnica, sino a una necesidad estratégica vinculada a la interoperabilidad, preservación y reutilización de los contenidos académicos. JATS se ha consolidado como el estándar de facto para la representación estructurada de artículos científicos, permitiendo su indexación en sistemas internacionales, su transformación a múltiples formatos (HTML, PDF, EPUB) y su preservación a largo plazo. En este sentido, trabajar sobre JATS implica asumir una lógica de datos ricos y semánticamente explícitos, donde cada elemento del documento —desde una referencia bibliográfica hasta un rol autoral— debe estar correctamente modelado para garantizar la calidad y sostenibilidad de la producción científica.</w:t>
      </w:r>
    </w:p>
    <w:p w:rsidR="00000000" w:rsidDel="00000000" w:rsidP="00000000" w:rsidRDefault="00000000" w:rsidRPr="00000000" w14:paraId="00000005">
      <w:pPr>
        <w:spacing w:after="240" w:before="240" w:lineRule="auto"/>
        <w:rPr/>
      </w:pPr>
      <w:r w:rsidDel="00000000" w:rsidR="00000000" w:rsidRPr="00000000">
        <w:rPr>
          <w:rtl w:val="0"/>
        </w:rPr>
        <w:t xml:space="preserve">En este contexto, el plugin </w:t>
      </w:r>
      <w:r w:rsidDel="00000000" w:rsidR="00000000" w:rsidRPr="00000000">
        <w:rPr>
          <w:rtl w:val="0"/>
        </w:rPr>
        <w:t xml:space="preserve">Texture</w:t>
      </w:r>
      <w:r w:rsidDel="00000000" w:rsidR="00000000" w:rsidRPr="00000000">
        <w:rPr>
          <w:rtl w:val="0"/>
        </w:rPr>
        <w:t xml:space="preserve"> ocupa un lugar estratégico al permitir editar artículos científicos en formato </w:t>
      </w:r>
      <w:r w:rsidDel="00000000" w:rsidR="00000000" w:rsidRPr="00000000">
        <w:rPr>
          <w:rtl w:val="0"/>
        </w:rPr>
        <w:t xml:space="preserve">XML JATS</w:t>
      </w:r>
      <w:r w:rsidDel="00000000" w:rsidR="00000000" w:rsidRPr="00000000">
        <w:rPr>
          <w:rtl w:val="0"/>
        </w:rPr>
        <w:t xml:space="preserve"> de manera visual, integrada y controlada dentro del flujo editorial de OJS. Durante los últimos meses, desde SEDICI se trabajó activamente en la mejora y extensión de este plugin, adaptándolo a necesidades concretas de nuestras revistas y fortaleciendo su compatibilidad con el estándar JATS.</w:t>
      </w:r>
    </w:p>
    <w:p w:rsidR="00000000" w:rsidDel="00000000" w:rsidP="00000000" w:rsidRDefault="00000000" w:rsidRPr="00000000" w14:paraId="00000006">
      <w:pPr>
        <w:spacing w:after="240" w:before="240" w:lineRule="auto"/>
        <w:rPr/>
      </w:pPr>
      <w:r w:rsidDel="00000000" w:rsidR="00000000" w:rsidRPr="00000000">
        <w:rPr>
          <w:rtl w:val="0"/>
        </w:rPr>
        <w:t xml:space="preserve">Este artículo presenta:</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Qué es el plugin Texture y cuál es su propósito.</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Cómo funciona internamente y cómo se integra con OJS.</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Qué modificaciones y extensiones se realizaron desde SEDICI.</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Qué limitaciones persisten y qué líneas de trabajo futuro se abren.</w:t>
      </w: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gp34mpeobo2" w:id="2"/>
      <w:bookmarkEnd w:id="2"/>
      <w:r w:rsidDel="00000000" w:rsidR="00000000" w:rsidRPr="00000000">
        <w:rPr>
          <w:b w:val="1"/>
          <w:bCs w:val="1"/>
          <w:sz w:val="34"/>
          <w:szCs w:val="34"/>
          <w:rtl w:val="0"/>
        </w:rPr>
        <w:t xml:space="preserve">¿Qué es Texture y para qué se utiliza?</w:t>
      </w:r>
    </w:p>
    <w:p w:rsidR="00000000" w:rsidDel="00000000" w:rsidP="00000000" w:rsidRDefault="00000000" w:rsidRPr="00000000" w14:paraId="0000000D">
      <w:pPr>
        <w:spacing w:after="240" w:before="240" w:lineRule="auto"/>
        <w:rPr/>
      </w:pPr>
      <w:r w:rsidDel="00000000" w:rsidR="00000000" w:rsidRPr="00000000">
        <w:rPr>
          <w:rtl w:val="0"/>
        </w:rPr>
        <w:t xml:space="preserve">Texture es un plugin genérico para Open Journal Systems que integra el editor Texture XML JATS, desarrollado por Substance, directamente en el flujo de trabajo editorial. Su propósito principal es permitir la edición visual de documentos XML JATS, evitando la edición manual del código XML y reduciendo significativamente la barrera técnica para editores y correctores.</w:t>
      </w:r>
    </w:p>
    <w:p w:rsidR="00000000" w:rsidDel="00000000" w:rsidP="00000000" w:rsidRDefault="00000000" w:rsidRPr="00000000" w14:paraId="0000000E">
      <w:pPr>
        <w:spacing w:after="240" w:before="240" w:lineRule="auto"/>
        <w:rPr/>
      </w:pPr>
      <w:r w:rsidDel="00000000" w:rsidR="00000000" w:rsidRPr="00000000">
        <w:rPr>
          <w:rtl w:val="0"/>
        </w:rPr>
        <w:t xml:space="preserve">Entre sus características principales se destacan:</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Edición visual de documentos JATS XML.</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Soporte para figuras, tablas, fórmulas matemáticas y referencias bibliográficas.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Gestión de archivos dependientes (imágenes y material suplementario).</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Importación y exportación de archivos </w:t>
      </w:r>
      <w:r w:rsidDel="00000000" w:rsidR="00000000" w:rsidRPr="00000000">
        <w:rPr>
          <w:b w:val="1"/>
          <w:bCs w:val="1"/>
          <w:rtl w:val="0"/>
        </w:rPr>
        <w:t xml:space="preserve">DAR (Document Archive)</w:t>
      </w:r>
      <w:r w:rsidDel="00000000" w:rsidR="00000000" w:rsidRPr="00000000">
        <w:rPr>
          <w:rtl w:val="0"/>
        </w:rPr>
        <w:t xml:space="preserv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Integración completa con la etapa de Producción de OJS.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Versionado automático de los archivos editados.</w:t>
      </w:r>
    </w:p>
    <w:p w:rsidR="00000000" w:rsidDel="00000000" w:rsidP="00000000" w:rsidRDefault="00000000" w:rsidRPr="00000000" w14:paraId="00000015">
      <w:pPr>
        <w:spacing w:after="240" w:before="240" w:lineRule="auto"/>
        <w:rPr/>
      </w:pPr>
      <w:r w:rsidDel="00000000" w:rsidR="00000000" w:rsidRPr="00000000">
        <w:rPr>
          <w:rtl w:val="0"/>
        </w:rPr>
        <w:t xml:space="preserve">De esta forma, Texture actúa como un puente entre el estándar JATS y el flujo editorial cotidiano de OJS.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color w:val="000000"/>
          <w:sz w:val="26"/>
          <w:szCs w:val="26"/>
        </w:rPr>
      </w:pPr>
      <w:bookmarkStart w:colFirst="0" w:colLast="0" w:name="_edvj9beyh0wa" w:id="3"/>
      <w:bookmarkEnd w:id="3"/>
      <w:r w:rsidDel="00000000" w:rsidR="00000000" w:rsidRPr="00000000">
        <w:rPr>
          <w:b w:val="1"/>
          <w:bCs w:val="1"/>
          <w:sz w:val="34"/>
          <w:szCs w:val="34"/>
          <w:rtl w:val="0"/>
        </w:rPr>
        <w:t xml:space="preserve">Arquitectura general del plugin</w:t>
      </w:r>
      <w:r w:rsidDel="00000000" w:rsidR="00000000" w:rsidRPr="00000000">
        <w:rPr>
          <w:rtl w:val="0"/>
        </w:rPr>
      </w:r>
    </w:p>
    <w:p w:rsidR="00000000" w:rsidDel="00000000" w:rsidP="00000000" w:rsidRDefault="00000000" w:rsidRPr="00000000" w14:paraId="00000018">
      <w:pPr>
        <w:spacing w:after="240" w:before="240" w:lineRule="auto"/>
        <w:rPr>
          <w:rFonts w:ascii="Courier New" w:cs="Courier New" w:eastAsia="Courier New" w:hAnsi="Courier New"/>
          <w:sz w:val="18"/>
          <w:szCs w:val="18"/>
        </w:rPr>
      </w:pPr>
      <w:r w:rsidDel="00000000" w:rsidR="00000000" w:rsidRPr="00000000">
        <w:rPr>
          <w:rtl w:val="0"/>
        </w:rPr>
        <w:t xml:space="preserve">El plugin combina código PHP y una biblioteca JavaScript de gran tamaño (el editor propiamente dicho). Su estructura principal es la siguiente:</w:t>
      </w:r>
      <w:r w:rsidDel="00000000" w:rsidR="00000000" w:rsidRPr="00000000">
        <w:rPr>
          <w:rtl w:val="0"/>
        </w:rPr>
      </w:r>
    </w:p>
    <w:p w:rsidR="00000000" w:rsidDel="00000000" w:rsidP="00000000" w:rsidRDefault="00000000" w:rsidRPr="00000000" w14:paraId="000000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color w:val="ff0000"/>
        </w:rPr>
      </w:pPr>
      <w:r w:rsidDel="00000000" w:rsidR="00000000" w:rsidRPr="00000000">
        <w:rPr>
          <w:color w:val="ff0000"/>
          <w:rtl w:val="0"/>
        </w:rPr>
        <w:t xml:space="preserve">Esta división refleja claramente dos mundos:</w:t>
      </w:r>
    </w:p>
    <w:p w:rsidR="00000000" w:rsidDel="00000000" w:rsidP="00000000" w:rsidRDefault="00000000" w:rsidRPr="00000000" w14:paraId="0000001C">
      <w:pPr>
        <w:numPr>
          <w:ilvl w:val="0"/>
          <w:numId w:val="1"/>
        </w:numPr>
        <w:spacing w:after="0" w:afterAutospacing="0" w:before="240" w:lineRule="auto"/>
        <w:ind w:left="720" w:hanging="360"/>
        <w:rPr>
          <w:color w:val="ff0000"/>
        </w:rPr>
      </w:pPr>
      <w:r w:rsidDel="00000000" w:rsidR="00000000" w:rsidRPr="00000000">
        <w:rPr>
          <w:b w:val="1"/>
          <w:bCs w:val="1"/>
          <w:color w:val="ff0000"/>
          <w:rtl w:val="0"/>
        </w:rPr>
        <w:t xml:space="preserve">Backend OJS (PHP)</w:t>
      </w:r>
      <w:r w:rsidDel="00000000" w:rsidR="00000000" w:rsidRPr="00000000">
        <w:rPr>
          <w:color w:val="ff0000"/>
          <w:rtl w:val="0"/>
        </w:rPr>
        <w:t xml:space="preserve">: integración con el workflow, control de permisos, y gestión de archivos.</w:t>
      </w:r>
    </w:p>
    <w:p w:rsidR="00000000" w:rsidDel="00000000" w:rsidP="00000000" w:rsidRDefault="00000000" w:rsidRPr="00000000" w14:paraId="0000001D">
      <w:pPr>
        <w:numPr>
          <w:ilvl w:val="0"/>
          <w:numId w:val="1"/>
        </w:numPr>
        <w:spacing w:after="240" w:before="0" w:beforeAutospacing="0" w:lineRule="auto"/>
        <w:ind w:left="720" w:hanging="360"/>
        <w:rPr>
          <w:color w:val="ff0000"/>
        </w:rPr>
      </w:pPr>
      <w:r w:rsidDel="00000000" w:rsidR="00000000" w:rsidRPr="00000000">
        <w:rPr>
          <w:b w:val="1"/>
          <w:bCs w:val="1"/>
          <w:color w:val="ff0000"/>
          <w:rtl w:val="0"/>
        </w:rPr>
        <w:t xml:space="preserve">Frontend Texture (JavaScript)</w:t>
      </w:r>
      <w:r w:rsidDel="00000000" w:rsidR="00000000" w:rsidRPr="00000000">
        <w:rPr>
          <w:color w:val="ff0000"/>
          <w:rtl w:val="0"/>
        </w:rPr>
        <w:t xml:space="preserve">: edición visual, renderizado del documento y manejo de operaciones de edición.</w:t>
      </w:r>
    </w:p>
    <w:p w:rsidR="00000000" w:rsidDel="00000000" w:rsidP="00000000" w:rsidRDefault="00000000" w:rsidRPr="00000000" w14:paraId="0000001E">
      <w:pPr>
        <w:spacing w:after="240" w:before="240" w:lineRule="auto"/>
        <w:rPr/>
      </w:pPr>
      <w:r w:rsidDel="00000000" w:rsidR="00000000" w:rsidRPr="00000000">
        <w:rPr>
          <w:rtl w:val="0"/>
        </w:rPr>
        <w:t xml:space="preserve">El plugin se activa principalmente en la</w:t>
      </w:r>
      <w:r w:rsidDel="00000000" w:rsidR="00000000" w:rsidRPr="00000000">
        <w:rPr>
          <w:rtl w:val="0"/>
        </w:rPr>
        <w:t xml:space="preserve"> etapa de Producción</w:t>
      </w:r>
      <w:r w:rsidDel="00000000" w:rsidR="00000000" w:rsidRPr="00000000">
        <w:rPr>
          <w:rtl w:val="0"/>
        </w:rPr>
        <w:t xml:space="preserve">, utilizando hooks de OJS para registrar rutas y modificar la grilla de archivos, y políticas de acceso (</w:t>
      </w:r>
      <w:r w:rsidDel="00000000" w:rsidR="00000000" w:rsidRPr="00000000">
        <w:rPr>
          <w:rFonts w:ascii="Roboto Mono" w:cs="Roboto Mono" w:eastAsia="Roboto Mono" w:hAnsi="Roboto Mono"/>
          <w:color w:val="188038"/>
          <w:rtl w:val="0"/>
        </w:rPr>
        <w:t xml:space="preserve">WorkflowStageAccessPolicy</w:t>
      </w:r>
      <w:r w:rsidDel="00000000" w:rsidR="00000000" w:rsidRPr="00000000">
        <w:rPr>
          <w:rtl w:val="0"/>
        </w:rPr>
        <w:t xml:space="preserve">) para validar permisos.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9wi92iemb8bj" w:id="4"/>
      <w:bookmarkEnd w:id="4"/>
      <w:r w:rsidDel="00000000" w:rsidR="00000000" w:rsidRPr="00000000">
        <w:rPr>
          <w:b w:val="1"/>
          <w:bCs w:val="1"/>
          <w:sz w:val="34"/>
          <w:szCs w:val="34"/>
          <w:rtl w:val="0"/>
        </w:rPr>
        <w:t xml:space="preserve">Extensiones desarrolladas en SEDICI</w:t>
      </w:r>
    </w:p>
    <w:p w:rsidR="00000000" w:rsidDel="00000000" w:rsidP="00000000" w:rsidRDefault="00000000" w:rsidRPr="00000000" w14:paraId="00000021">
      <w:pPr>
        <w:rPr/>
      </w:pPr>
      <w:r w:rsidDel="00000000" w:rsidR="00000000" w:rsidRPr="00000000">
        <w:rPr>
          <w:rtl w:val="0"/>
        </w:rPr>
        <w:t xml:space="preserve">Dado que Texture actúa como la principal interfaz de edición sobre documentos JATS dentro de OJS, su grado de completitud funcional resulta crítico. Cualquier elemento del estándar que no pueda ser representado, editado o preservado desde el editor visual se convierte, en la práctica, en una limitación para el flujo editorial. Esto no solo afecta la experiencia de los usuarios, sino que puede derivar en pérdidas de información, simplificaciones forzadas del XML o inconsistencias entre el contenido editado y el documento final publicado. Por este motivo, una parte sustancial del trabajo realizado en SEDICI estuvo orientada a ampliar la cobertura de Texture sobre el modelo JATS, priorizando aquellos elementos que resultan relevantes para las prácticas editoriales reales de las revistas científicas.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Un factor adicional que motivó estas extensiones fue la adopción del estilo de citación APA 7 en las revistas que utilizan SUMARC. APA 7 enfatiza una descripción más precisa y explícita de los roles involucrados en una obra —como editores, traductores, compiladores o directores de tesis— así como la inclusión de metadatos específicos en determinados tipos de referencias. Para poder generar referencias conformes a este estándar de manera consistente, resulta indispensable que toda la información relevante esté disponible y estructurada desde el momento de la edición. Por tanto, ampliar el modelo de referencias de Texture no fue solo una mejora técnica, sino una condición necesaria para garantizar la correcta aplicación de APA 7 sin recurrir a ajustes manuales posteriores o a la pérdida de precisión bibliográfica.</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di86v6q2sn" w:id="5"/>
      <w:bookmarkEnd w:id="5"/>
      <w:r w:rsidDel="00000000" w:rsidR="00000000" w:rsidRPr="00000000">
        <w:rPr>
          <w:b w:val="1"/>
          <w:bCs w:val="1"/>
          <w:color w:val="000000"/>
          <w:sz w:val="26"/>
          <w:szCs w:val="26"/>
          <w:rtl w:val="0"/>
        </w:rPr>
        <w:t xml:space="preserve">Nuevos person-group types en referencias</w:t>
      </w:r>
    </w:p>
    <w:p w:rsidR="00000000" w:rsidDel="00000000" w:rsidP="00000000" w:rsidRDefault="00000000" w:rsidRPr="00000000" w14:paraId="00000025">
      <w:pPr>
        <w:spacing w:after="240" w:before="240" w:lineRule="auto"/>
        <w:rPr/>
      </w:pPr>
      <w:r w:rsidDel="00000000" w:rsidR="00000000" w:rsidRPr="00000000">
        <w:rPr>
          <w:rtl w:val="0"/>
        </w:rPr>
        <w:t xml:space="preserve">Se extendió Texture para soportar nuevos </w:t>
      </w:r>
      <w:r w:rsidDel="00000000" w:rsidR="00000000" w:rsidRPr="00000000">
        <w:rPr>
          <w:b w:val="1"/>
          <w:bCs w:val="1"/>
          <w:rtl w:val="0"/>
        </w:rPr>
        <w:t xml:space="preserve">person-group types</w:t>
      </w:r>
      <w:r w:rsidDel="00000000" w:rsidR="00000000" w:rsidRPr="00000000">
        <w:rPr>
          <w:rtl w:val="0"/>
        </w:rPr>
        <w:t xml:space="preserve"> en referencias bibliográficas, como:</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rtl w:val="0"/>
        </w:rPr>
        <w:t xml:space="preserve">coordinators</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directors</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inventors</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illustrators</w:t>
      </w:r>
    </w:p>
    <w:p w:rsidR="00000000" w:rsidDel="00000000" w:rsidP="00000000" w:rsidRDefault="00000000" w:rsidRPr="00000000" w14:paraId="0000002A">
      <w:pPr>
        <w:numPr>
          <w:ilvl w:val="0"/>
          <w:numId w:val="11"/>
        </w:numPr>
        <w:spacing w:after="240" w:before="0" w:beforeAutospacing="0" w:lineRule="auto"/>
        <w:ind w:left="720" w:hanging="360"/>
      </w:pPr>
      <w:r w:rsidDel="00000000" w:rsidR="00000000" w:rsidRPr="00000000">
        <w:rPr>
          <w:rtl w:val="0"/>
        </w:rPr>
        <w:t xml:space="preserve">guest-editors</w:t>
      </w:r>
    </w:p>
    <w:p w:rsidR="00000000" w:rsidDel="00000000" w:rsidP="00000000" w:rsidRDefault="00000000" w:rsidRPr="00000000" w14:paraId="0000002B">
      <w:pPr>
        <w:spacing w:after="240" w:before="240" w:lineRule="auto"/>
        <w:rPr/>
      </w:pPr>
      <w:r w:rsidDel="00000000" w:rsidR="00000000" w:rsidRPr="00000000">
        <w:rPr>
          <w:rtl w:val="0"/>
        </w:rPr>
        <w:t xml:space="preserve">La extensión implicó modificaciones en:</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El </w:t>
      </w:r>
      <w:r w:rsidDel="00000000" w:rsidR="00000000" w:rsidRPr="00000000">
        <w:rPr>
          <w:rtl w:val="0"/>
        </w:rPr>
        <w:t xml:space="preserve">schema</w:t>
      </w:r>
      <w:r w:rsidDel="00000000" w:rsidR="00000000" w:rsidRPr="00000000">
        <w:rPr>
          <w:rtl w:val="0"/>
        </w:rPr>
        <w:t xml:space="preserve"> de cada tipo de referencia.</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El rendering en la vista previa.</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Las etiquetas de la interfaz de usuario.</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La importación desde JATS.</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La exportación hacia JATS.</w:t>
      </w:r>
    </w:p>
    <w:p w:rsidR="00000000" w:rsidDel="00000000" w:rsidP="00000000" w:rsidRDefault="00000000" w:rsidRPr="00000000" w14:paraId="00000031">
      <w:pPr>
        <w:spacing w:after="240" w:before="240" w:lineRule="auto"/>
        <w:rPr/>
      </w:pPr>
      <w:r w:rsidDel="00000000" w:rsidR="00000000" w:rsidRPr="00000000">
        <w:rPr>
          <w:rtl w:val="0"/>
        </w:rPr>
        <w:t xml:space="preserve">Este trabajo permitió una representación más fiel de roles editoriales y autorales complejos.</w:t>
      </w:r>
    </w:p>
    <w:p w:rsidR="00000000" w:rsidDel="00000000" w:rsidP="00000000" w:rsidRDefault="00000000" w:rsidRPr="00000000" w14:paraId="00000032">
      <w:pPr>
        <w:spacing w:after="240" w:lineRule="auto"/>
        <w:rPr/>
      </w:pPr>
      <w:r w:rsidDel="00000000" w:rsidR="00000000" w:rsidRPr="00000000">
        <w:rPr>
          <w:rtl w:val="0"/>
        </w:rPr>
        <w:t xml:space="preserve">Además de la incorporación de nuevos </w:t>
      </w:r>
      <w:r w:rsidDel="00000000" w:rsidR="00000000" w:rsidRPr="00000000">
        <w:rPr>
          <w:i w:val="1"/>
          <w:iCs w:val="1"/>
          <w:rtl w:val="0"/>
        </w:rPr>
        <w:t xml:space="preserve">person-group types</w:t>
      </w:r>
      <w:r w:rsidDel="00000000" w:rsidR="00000000" w:rsidRPr="00000000">
        <w:rPr>
          <w:rtl w:val="0"/>
        </w:rPr>
        <w:t xml:space="preserve">, durante el trabajo de extensión de Texture se identificó y corrigió un</w:t>
      </w:r>
      <w:r w:rsidDel="00000000" w:rsidR="00000000" w:rsidRPr="00000000">
        <w:rPr>
          <w:rtl w:val="0"/>
        </w:rPr>
        <w:t xml:space="preserve"> error en la exportación JATS de traductores</w:t>
      </w:r>
      <w:r w:rsidDel="00000000" w:rsidR="00000000" w:rsidRPr="00000000">
        <w:rPr>
          <w:rtl w:val="0"/>
        </w:rPr>
        <w:t xml:space="preserve">. En determinados tipos de referencia —particularmente </w:t>
      </w:r>
      <w:r w:rsidDel="00000000" w:rsidR="00000000" w:rsidRPr="00000000">
        <w:rPr>
          <w:rFonts w:ascii="Roboto Mono" w:cs="Roboto Mono" w:eastAsia="Roboto Mono" w:hAnsi="Roboto Mono"/>
          <w:color w:val="188038"/>
          <w:rtl w:val="0"/>
        </w:rPr>
        <w:t xml:space="preserve">chapter-ref</w:t>
      </w:r>
      <w:r w:rsidDel="00000000" w:rsidR="00000000" w:rsidRPr="00000000">
        <w:rPr>
          <w:rtl w:val="0"/>
        </w:rPr>
        <w:t xml:space="preserve">— los elementos </w:t>
      </w:r>
      <w:r w:rsidDel="00000000" w:rsidR="00000000" w:rsidRPr="00000000">
        <w:rPr>
          <w:rFonts w:ascii="Roboto Mono" w:cs="Roboto Mono" w:eastAsia="Roboto Mono" w:hAnsi="Roboto Mono"/>
          <w:color w:val="188038"/>
          <w:rtl w:val="0"/>
        </w:rPr>
        <w:t xml:space="preserve">&lt;person-group person-group-type="translator"&gt;</w:t>
      </w:r>
      <w:r w:rsidDel="00000000" w:rsidR="00000000" w:rsidRPr="00000000">
        <w:rPr>
          <w:rtl w:val="0"/>
        </w:rPr>
        <w:t xml:space="preserve"> se cargaban y visualizaban correctamente en el editor, pero se perdían al momento de guardar el documento. El problema se localizó en la función interna </w:t>
      </w:r>
      <w:r w:rsidDel="00000000" w:rsidR="00000000" w:rsidRPr="00000000">
        <w:rPr>
          <w:rFonts w:ascii="Roboto Mono" w:cs="Roboto Mono" w:eastAsia="Roboto Mono" w:hAnsi="Roboto Mono"/>
          <w:color w:val="188038"/>
          <w:rtl w:val="0"/>
        </w:rPr>
        <w:t xml:space="preserve">_exportElementCitation</w:t>
      </w:r>
      <w:r w:rsidDel="00000000" w:rsidR="00000000" w:rsidRPr="00000000">
        <w:rPr>
          <w:rtl w:val="0"/>
        </w:rPr>
        <w:t xml:space="preserve">, donde el campo </w:t>
      </w:r>
      <w:r w:rsidDel="00000000" w:rsidR="00000000" w:rsidRPr="00000000">
        <w:rPr>
          <w:rFonts w:ascii="Roboto Mono" w:cs="Roboto Mono" w:eastAsia="Roboto Mono" w:hAnsi="Roboto Mono"/>
          <w:color w:val="188038"/>
          <w:rtl w:val="0"/>
        </w:rPr>
        <w:t xml:space="preserve">node.translators</w:t>
      </w:r>
      <w:r w:rsidDel="00000000" w:rsidR="00000000" w:rsidRPr="00000000">
        <w:rPr>
          <w:rtl w:val="0"/>
        </w:rPr>
        <w:t xml:space="preserve"> no era serializado junto con el resto de los roles (authors, editors, inventors, sponsors). La solución consistió en añadir explícitamente la exportación del grupo de traductores, alineándose con el patrón existente para otros roles, lo que eliminó la pérdida silenciosa de información bibliográfica y garantiza la persistencia completa de los datos.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awcvafnivu4p" w:id="6"/>
      <w:bookmarkEnd w:id="6"/>
      <w:r w:rsidDel="00000000" w:rsidR="00000000" w:rsidRPr="00000000">
        <w:rPr>
          <w:b w:val="1"/>
          <w:bCs w:val="1"/>
          <w:color w:val="000000"/>
          <w:sz w:val="26"/>
          <w:szCs w:val="26"/>
          <w:rtl w:val="0"/>
        </w:rPr>
        <w:t xml:space="preserve">Nuevos campos en referencias de tesis</w:t>
      </w:r>
    </w:p>
    <w:p w:rsidR="00000000" w:rsidDel="00000000" w:rsidP="00000000" w:rsidRDefault="00000000" w:rsidRPr="00000000" w14:paraId="00000035">
      <w:pPr>
        <w:spacing w:after="240" w:before="240" w:lineRule="auto"/>
        <w:rPr/>
      </w:pPr>
      <w:r w:rsidDel="00000000" w:rsidR="00000000" w:rsidRPr="00000000">
        <w:rPr>
          <w:rtl w:val="0"/>
        </w:rPr>
        <w:t xml:space="preserve">Se incorporaron los campos:</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Degree</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Awarding Institution</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Publication Number</w:t>
      </w:r>
    </w:p>
    <w:p w:rsidR="00000000" w:rsidDel="00000000" w:rsidP="00000000" w:rsidRDefault="00000000" w:rsidRPr="00000000" w14:paraId="00000039">
      <w:pPr>
        <w:spacing w:after="240" w:before="240" w:lineRule="auto"/>
        <w:rPr/>
      </w:pPr>
      <w:r w:rsidDel="00000000" w:rsidR="00000000" w:rsidRPr="00000000">
        <w:rPr>
          <w:rtl w:val="0"/>
        </w:rPr>
        <w:t xml:space="preserve">Se agregó:</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rtl w:val="0"/>
        </w:rPr>
        <w:t xml:space="preserve">Definición de campos en el schema.</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Lógica de importación desde XML.</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Lógica de exportación a JATS.</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Etiquetas de la interfaz en español e inglés.</w:t>
      </w:r>
    </w:p>
    <w:p w:rsidR="00000000" w:rsidDel="00000000" w:rsidP="00000000" w:rsidRDefault="00000000" w:rsidRPr="00000000" w14:paraId="0000003E">
      <w:pPr>
        <w:spacing w:after="240" w:before="240" w:lineRule="auto"/>
        <w:rPr/>
      </w:pPr>
      <w:r w:rsidDel="00000000" w:rsidR="00000000" w:rsidRPr="00000000">
        <w:rPr>
          <w:rtl w:val="0"/>
        </w:rPr>
        <w:t xml:space="preserve">Esto permitió cubrir necesidades concretas de catalogación académica no contempladas originalmente por Texture.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7kahqbavuqwi" w:id="7"/>
      <w:bookmarkEnd w:id="7"/>
      <w:r w:rsidDel="00000000" w:rsidR="00000000" w:rsidRPr="00000000">
        <w:rPr>
          <w:b w:val="1"/>
          <w:bCs w:val="1"/>
          <w:sz w:val="34"/>
          <w:szCs w:val="34"/>
          <w:rtl w:val="0"/>
        </w:rPr>
        <w:t xml:space="preserve">Otras limitaciones actuales</w:t>
      </w:r>
    </w:p>
    <w:p w:rsidR="00000000" w:rsidDel="00000000" w:rsidP="00000000" w:rsidRDefault="00000000" w:rsidRPr="00000000" w14:paraId="00000041">
      <w:pPr>
        <w:spacing w:after="240" w:lineRule="auto"/>
        <w:rPr/>
      </w:pPr>
      <w:r w:rsidDel="00000000" w:rsidR="00000000" w:rsidRPr="00000000">
        <w:rPr>
          <w:rtl w:val="0"/>
        </w:rPr>
        <w:t xml:space="preserve">Si bien Texture reduce significativamente la barrera de entrada para la edición de XML, a día de hoy presenta ciertas deficiencias. Se identificaron tres limitaciones puntuales que los equipos editoriales deben considerar antes de integrarlo en sus flujos de trabajo:</w:t>
      </w:r>
    </w:p>
    <w:p w:rsidR="00000000" w:rsidDel="00000000" w:rsidP="00000000" w:rsidRDefault="00000000" w:rsidRPr="00000000" w14:paraId="00000042">
      <w:pPr>
        <w:pStyle w:val="Heading4"/>
        <w:keepNext w:val="0"/>
        <w:keepLines w:val="0"/>
        <w:spacing w:after="40" w:before="240" w:lineRule="auto"/>
        <w:rPr>
          <w:b w:val="1"/>
          <w:bCs w:val="1"/>
          <w:color w:val="000000"/>
        </w:rPr>
      </w:pPr>
      <w:bookmarkStart w:colFirst="0" w:colLast="0" w:name="_i90moji1gu3q" w:id="8"/>
      <w:bookmarkEnd w:id="8"/>
      <w:r w:rsidDel="00000000" w:rsidR="00000000" w:rsidRPr="00000000">
        <w:rPr>
          <w:b w:val="1"/>
          <w:bCs w:val="1"/>
          <w:color w:val="000000"/>
          <w:rtl w:val="0"/>
        </w:rPr>
        <w:t xml:space="preserve">1. Cobertura incompleta del estándar JATS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rtl w:val="0"/>
        </w:rPr>
        <w:t xml:space="preserve">El estándar JATS (ANSI/NISO Z39.96) es extremadamente extenso y permite modelar estructuras complejas, mientras que Texture implementa solo un subconjunto de este estándar. Esto deja fuera del flujo de edición visual a elementos semánticos específicos como agradecimientos (</w:t>
      </w:r>
      <w:r w:rsidDel="00000000" w:rsidR="00000000" w:rsidRPr="00000000">
        <w:rPr>
          <w:rFonts w:ascii="Roboto Mono" w:cs="Roboto Mono" w:eastAsia="Roboto Mono" w:hAnsi="Roboto Mono"/>
          <w:color w:val="188038"/>
          <w:rtl w:val="0"/>
        </w:rPr>
        <w:t xml:space="preserve">&lt;ack&gt;</w:t>
      </w:r>
      <w:r w:rsidDel="00000000" w:rsidR="00000000" w:rsidRPr="00000000">
        <w:rPr>
          <w:rtl w:val="0"/>
        </w:rPr>
        <w:t xml:space="preserve">), cuadros de texto (</w:t>
      </w:r>
      <w:r w:rsidDel="00000000" w:rsidR="00000000" w:rsidRPr="00000000">
        <w:rPr>
          <w:rFonts w:ascii="Roboto Mono" w:cs="Roboto Mono" w:eastAsia="Roboto Mono" w:hAnsi="Roboto Mono"/>
          <w:color w:val="188038"/>
          <w:rtl w:val="0"/>
        </w:rPr>
        <w:t xml:space="preserve">&lt;boxed-text&gt;</w:t>
      </w:r>
      <w:r w:rsidDel="00000000" w:rsidR="00000000" w:rsidRPr="00000000">
        <w:rPr>
          <w:rtl w:val="0"/>
        </w:rPr>
        <w:t xml:space="preserve">), listas de definiciones (</w:t>
      </w:r>
      <w:r w:rsidDel="00000000" w:rsidR="00000000" w:rsidRPr="00000000">
        <w:rPr>
          <w:rFonts w:ascii="Roboto Mono" w:cs="Roboto Mono" w:eastAsia="Roboto Mono" w:hAnsi="Roboto Mono"/>
          <w:color w:val="188038"/>
          <w:rtl w:val="0"/>
        </w:rPr>
        <w:t xml:space="preserve">&lt;def-list&gt;</w:t>
      </w:r>
      <w:r w:rsidDel="00000000" w:rsidR="00000000" w:rsidRPr="00000000">
        <w:rPr>
          <w:rtl w:val="0"/>
        </w:rPr>
        <w:t xml:space="preserve">) o estructuras químicas (</w:t>
      </w:r>
      <w:r w:rsidDel="00000000" w:rsidR="00000000" w:rsidRPr="00000000">
        <w:rPr>
          <w:rFonts w:ascii="Roboto Mono" w:cs="Roboto Mono" w:eastAsia="Roboto Mono" w:hAnsi="Roboto Mono"/>
          <w:color w:val="188038"/>
          <w:rtl w:val="0"/>
        </w:rPr>
        <w:t xml:space="preserve">&lt;chem-struct&gt;</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Una limitación particularmente crítica se encuentra en la falta de soporte para</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&lt;mixed-citation&gt;</w:t>
      </w:r>
      <w:r w:rsidDel="00000000" w:rsidR="00000000" w:rsidRPr="00000000">
        <w:rPr>
          <w:rtl w:val="0"/>
        </w:rPr>
        <w:t xml:space="preserve">. Este elemento es fundamental en muchos flujos editoriales, y su ausencia nos obligó a evaluar distintas estrategias de mitigación, tales como intentar una sincronización compleja entre la cita mixta y la estructurada (con alto riesgo de inconsistencia), admitirlo únicamente como elemento de "solo lectura", o —como hacemos actualmente— excluirlo del editor para reconstruirlo externamente mediante procesos posteriores en el flujo editorial de </w:t>
      </w:r>
      <w:r w:rsidDel="00000000" w:rsidR="00000000" w:rsidRPr="00000000">
        <w:rPr>
          <w:rtl w:val="0"/>
        </w:rPr>
        <w:t xml:space="preserve">SUMARC</w:t>
      </w:r>
      <w:r w:rsidDel="00000000" w:rsidR="00000000" w:rsidRPr="00000000">
        <w:rPr>
          <w:rtl w:val="0"/>
        </w:rPr>
        <w:t xml:space="preserve">. </w:t>
      </w:r>
    </w:p>
    <w:p w:rsidR="00000000" w:rsidDel="00000000" w:rsidP="00000000" w:rsidRDefault="00000000" w:rsidRPr="00000000" w14:paraId="00000046">
      <w:pPr>
        <w:spacing w:after="240" w:before="240" w:lineRule="auto"/>
        <w:rPr/>
      </w:pPr>
      <w:r w:rsidDel="00000000" w:rsidR="00000000" w:rsidRPr="00000000">
        <w:rPr>
          <w:rtl w:val="0"/>
        </w:rPr>
        <w:t xml:space="preserve">Si se carga en Texture un XML JATS que contenga estos elementos no soportados, el editor los ignorará y, al guardar el archivo, los eliminará del código. Esto provoca una pérdida muchas veces silenciosa de información que rompe la integridad del documento original.</w:t>
      </w:r>
    </w:p>
    <w:p w:rsidR="00000000" w:rsidDel="00000000" w:rsidP="00000000" w:rsidRDefault="00000000" w:rsidRPr="00000000" w14:paraId="00000047">
      <w:pPr>
        <w:pStyle w:val="Heading4"/>
        <w:spacing w:after="240" w:before="240" w:lineRule="auto"/>
        <w:rPr>
          <w:b w:val="1"/>
          <w:bCs w:val="1"/>
          <w:color w:val="000000"/>
        </w:rPr>
      </w:pPr>
      <w:bookmarkStart w:colFirst="0" w:colLast="0" w:name="_pffjmz9nbb5m" w:id="9"/>
      <w:bookmarkEnd w:id="9"/>
      <w:r w:rsidDel="00000000" w:rsidR="00000000" w:rsidRPr="00000000">
        <w:rPr>
          <w:b w:val="1"/>
          <w:bCs w:val="1"/>
          <w:color w:val="000000"/>
          <w:rtl w:val="0"/>
        </w:rPr>
        <w:t xml:space="preserve">2. Gestión rudimentaria de metadatos</w:t>
      </w:r>
    </w:p>
    <w:p w:rsidR="00000000" w:rsidDel="00000000" w:rsidP="00000000" w:rsidRDefault="00000000" w:rsidRPr="00000000" w14:paraId="00000048">
      <w:pPr>
        <w:spacing w:after="240" w:before="240" w:lineRule="auto"/>
        <w:rPr/>
      </w:pPr>
      <w:r w:rsidDel="00000000" w:rsidR="00000000" w:rsidRPr="00000000">
        <w:rPr>
          <w:rtl w:val="0"/>
        </w:rPr>
        <w:t xml:space="preserve">Texture realiza un buen trabajo en la edición del cuerpo del texto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 y las referencias (</w:t>
      </w:r>
      <w:r w:rsidDel="00000000" w:rsidR="00000000" w:rsidRPr="00000000">
        <w:rPr>
          <w:rFonts w:ascii="Roboto Mono" w:cs="Roboto Mono" w:eastAsia="Roboto Mono" w:hAnsi="Roboto Mono"/>
          <w:color w:val="188038"/>
          <w:rtl w:val="0"/>
        </w:rPr>
        <w:t xml:space="preserve">&lt;back&gt;</w:t>
      </w:r>
      <w:r w:rsidDel="00000000" w:rsidR="00000000" w:rsidRPr="00000000">
        <w:rPr>
          <w:rtl w:val="0"/>
        </w:rPr>
        <w:t xml:space="preserve">), pero su manejo de los metadatos del artículo (</w:t>
      </w:r>
      <w:r w:rsidDel="00000000" w:rsidR="00000000" w:rsidRPr="00000000">
        <w:rPr>
          <w:rFonts w:ascii="Roboto Mono" w:cs="Roboto Mono" w:eastAsia="Roboto Mono" w:hAnsi="Roboto Mono"/>
          <w:color w:val="188038"/>
          <w:rtl w:val="0"/>
        </w:rPr>
        <w:t xml:space="preserve">&lt;front&gt;</w:t>
      </w:r>
      <w:r w:rsidDel="00000000" w:rsidR="00000000" w:rsidRPr="00000000">
        <w:rPr>
          <w:rtl w:val="0"/>
        </w:rPr>
        <w:t xml:space="preserve">) es limitado. La interfaz no ofrece herramientas visuales para editarlos, y su completitud es de suma importancia por diversos motivos. </w:t>
      </w:r>
    </w:p>
    <w:p w:rsidR="00000000" w:rsidDel="00000000" w:rsidP="00000000" w:rsidRDefault="00000000" w:rsidRPr="00000000" w14:paraId="00000049">
      <w:pPr>
        <w:spacing w:after="240" w:before="240" w:lineRule="auto"/>
        <w:rPr>
          <w:b w:val="1"/>
          <w:bCs w:val="1"/>
        </w:rPr>
      </w:pPr>
      <w:r w:rsidDel="00000000" w:rsidR="00000000" w:rsidRPr="00000000">
        <w:rPr>
          <w:color w:val="ff0000"/>
          <w:rtl w:val="0"/>
        </w:rPr>
        <w:t xml:space="preserve">acá podemos hacer referencia al articulo de enriquecimiento y mencionar brevemente la importancia de los metadatos.</w:t>
      </w:r>
      <w:r w:rsidDel="00000000" w:rsidR="00000000" w:rsidRPr="00000000">
        <w:rPr>
          <w:rtl w:val="0"/>
        </w:rPr>
      </w:r>
    </w:p>
    <w:p w:rsidR="00000000" w:rsidDel="00000000" w:rsidP="00000000" w:rsidRDefault="00000000" w:rsidRPr="00000000" w14:paraId="0000004A">
      <w:pPr>
        <w:pStyle w:val="Heading4"/>
        <w:spacing w:after="240" w:before="240" w:lineRule="auto"/>
        <w:rPr>
          <w:b w:val="1"/>
          <w:bCs w:val="1"/>
          <w:color w:val="000000"/>
        </w:rPr>
      </w:pPr>
      <w:bookmarkStart w:colFirst="0" w:colLast="0" w:name="_h48te9amnk16" w:id="10"/>
      <w:bookmarkEnd w:id="10"/>
      <w:r w:rsidDel="00000000" w:rsidR="00000000" w:rsidRPr="00000000">
        <w:rPr>
          <w:b w:val="1"/>
          <w:bCs w:val="1"/>
          <w:color w:val="000000"/>
          <w:rtl w:val="0"/>
        </w:rPr>
        <w:t xml:space="preserve">3. Ausencia de validación DTD/XSD</w:t>
      </w:r>
    </w:p>
    <w:p w:rsidR="00000000" w:rsidDel="00000000" w:rsidP="00000000" w:rsidRDefault="00000000" w:rsidRPr="00000000" w14:paraId="0000004B">
      <w:pPr>
        <w:spacing w:after="240" w:before="240" w:lineRule="auto"/>
        <w:rPr>
          <w:i w:val="1"/>
          <w:iCs w:val="1"/>
        </w:rPr>
      </w:pPr>
      <w:r w:rsidDel="00000000" w:rsidR="00000000" w:rsidRPr="00000000">
        <w:rPr>
          <w:rtl w:val="0"/>
        </w:rPr>
        <w:t xml:space="preserve">Otra importante limitación técnica de</w:t>
      </w:r>
      <w:r w:rsidDel="00000000" w:rsidR="00000000" w:rsidRPr="00000000">
        <w:rPr>
          <w:rtl w:val="0"/>
        </w:rPr>
        <w:t xml:space="preserve"> Texture es que no valida el documento contra la DTD JATS al momento de guardar. El proceso de guardado funciona serializando el modelo interno del editor (DOM) a XML. Si el modelo interno es consistente, el XML se genera y se guarda. Sin embargo, que un XML esté bien formado no significa que sea "válido" según el esquema JATS 1.4 o algún organismo como SciELO. Es posible, por ejemplo, generar estructuras donde faltan atributos obligatorios o donde el orden de los elementos viola las reglas del esquema, y Texture no emitirá ninguna advertencia. Esto puede resultar en archivos XML que se ven bien en el editor, pero que fallan al intentar ser cosechados por sistemas externos (como PubMed, Redalyc o SciELO) , entre otros posibles inconvenientes, transfiriendo el problema de control de calidad a etapas posteriores del flujo.</w:t>
      </w: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81wuwq537rok" w:id="11"/>
      <w:bookmarkEnd w:id="11"/>
      <w:r w:rsidDel="00000000" w:rsidR="00000000" w:rsidRPr="00000000">
        <w:rPr>
          <w:b w:val="1"/>
          <w:bCs w:val="1"/>
          <w:sz w:val="34"/>
          <w:szCs w:val="34"/>
          <w:rtl w:val="0"/>
        </w:rPr>
        <w:t xml:space="preserve">Conclusión</w:t>
      </w:r>
    </w:p>
    <w:p w:rsidR="00000000" w:rsidDel="00000000" w:rsidP="00000000" w:rsidRDefault="00000000" w:rsidRPr="00000000" w14:paraId="0000004E">
      <w:pPr>
        <w:spacing w:after="240" w:lineRule="auto"/>
        <w:rPr/>
      </w:pPr>
      <w:r w:rsidDel="00000000" w:rsidR="00000000" w:rsidRPr="00000000">
        <w:rPr>
          <w:rtl w:val="0"/>
        </w:rPr>
        <w:t xml:space="preserve">El plugin Texture representa una herramienta clave para la adopción efectiva de XML JATS dentro del ecosistema de Open Journal Systems. A través de las mejoras desarrolladas en SEDICI, fue posible extender su funcionalidad original, adaptándolo en mayor medida a las exigencias de estándares como APA 7 y fortaleciendo su alineación con prácticas de catalogación académica.</w:t>
      </w:r>
    </w:p>
    <w:p w:rsidR="00000000" w:rsidDel="00000000" w:rsidP="00000000" w:rsidRDefault="00000000" w:rsidRPr="00000000" w14:paraId="0000004F">
      <w:pPr>
        <w:spacing w:after="240" w:before="240" w:lineRule="auto"/>
        <w:rPr/>
      </w:pPr>
      <w:r w:rsidDel="00000000" w:rsidR="00000000" w:rsidRPr="00000000">
        <w:rPr>
          <w:rtl w:val="0"/>
        </w:rPr>
        <w:t xml:space="preserve">El trabajo realizado demuestra que la edición visual de documentos JATS no es solo un desafío de interfaz, sino un problema integral de modelado de datos. En este sentido, las extensiones implementadas permitieron reducir la brecha entre la riqueza semántica del estándar y las capacidades del editor, evitando simplificaciones forzadas. Sin embargo, desde una perspectiva técnica, la experiencia adquirida en SUMARC revela que intervenir Texture conlleva una complejidad estructural significativa. La modificación de referencias implica coordinar múltiples capas del sistema (modelo, UI, importación y exportación), poniendo de manifiesto que si bien Texture es extensible, cualquier intervención exitosa requiere una comprensión global del flujo de datos. Debido a la falta de una separación modular estricta, extender el plugin implica el esfuerzo de una validación exhaustiva tras cada cambio para asegurar la estabilidad del sistema.</w:t>
      </w:r>
    </w:p>
    <w:p w:rsidR="00000000" w:rsidDel="00000000" w:rsidP="00000000" w:rsidRDefault="00000000" w:rsidRPr="00000000" w14:paraId="00000050">
      <w:pPr>
        <w:spacing w:after="240" w:before="240" w:lineRule="auto"/>
        <w:rPr/>
      </w:pPr>
      <w:r w:rsidDel="00000000" w:rsidR="00000000" w:rsidRPr="00000000">
        <w:rPr>
          <w:rtl w:val="0"/>
        </w:rPr>
        <w:t xml:space="preserve">Finalmente, este trabajo reafirma el valor de combinar estándares abiertos, software libre y desarrollo institucional. La capacidad de documentar y superar estas barreras técnicas resulta fundamental para construir infraestructuras editoriales robustas, donde la tecnología se adapte a las necesidades de la ciencia y no al revés.</w:t>
        <w:br w:type="textWrapping"/>
      </w: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at06rwebchxe" w:id="12"/>
      <w:bookmarkEnd w:id="12"/>
      <w:r w:rsidDel="00000000" w:rsidR="00000000" w:rsidRPr="00000000">
        <w:rPr>
          <w:b w:val="1"/>
          <w:bCs w:val="1"/>
          <w:sz w:val="34"/>
          <w:szCs w:val="34"/>
          <w:rtl w:val="0"/>
        </w:rPr>
        <w:t xml:space="preserve">Anexo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ff0000"/>
        </w:rPr>
      </w:pPr>
      <w:r w:rsidDel="00000000" w:rsidR="00000000" w:rsidRPr="00000000">
        <w:rPr>
          <w:color w:val="ff0000"/>
          <w:rtl w:val="0"/>
        </w:rPr>
        <w:t xml:space="preserve">la idea acá es agregar detalladamente cómo se realizaron las modificaciones a nivel código, qué archivos hay que modificar, dónde, para agregar más campos en las referencias, lo dejo como anexo para que no interrumpa la idea principal del artículo, que es hablar de lo que hicimos y lo que queda por hacer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Este anexo documenta, a nivel de código, el proceso seguido para </w:t>
      </w:r>
      <w:r w:rsidDel="00000000" w:rsidR="00000000" w:rsidRPr="00000000">
        <w:rPr>
          <w:b w:val="1"/>
          <w:bCs w:val="1"/>
          <w:rtl w:val="0"/>
        </w:rPr>
        <w:t xml:space="preserve">extender el soporte de referencias bibliográficas en Texture</w:t>
      </w:r>
      <w:r w:rsidDel="00000000" w:rsidR="00000000" w:rsidRPr="00000000">
        <w:rPr>
          <w:rtl w:val="0"/>
        </w:rPr>
        <w:t xml:space="preserve">, en particular para agregar nuevos </w:t>
      </w:r>
      <w:r w:rsidDel="00000000" w:rsidR="00000000" w:rsidRPr="00000000">
        <w:rPr>
          <w:i w:val="1"/>
          <w:iCs w:val="1"/>
          <w:rtl w:val="0"/>
        </w:rPr>
        <w:t xml:space="preserve">person-group types</w:t>
      </w:r>
      <w:r w:rsidDel="00000000" w:rsidR="00000000" w:rsidRPr="00000000">
        <w:rPr>
          <w:rtl w:val="0"/>
        </w:rPr>
        <w:t xml:space="preserve"> u otros campos no contemplados originalmente. </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kjqwps9l5hlq" w:id="13"/>
      <w:bookmarkEnd w:id="13"/>
      <w:r w:rsidDel="00000000" w:rsidR="00000000" w:rsidRPr="00000000">
        <w:rPr>
          <w:b w:val="1"/>
          <w:bCs w:val="1"/>
          <w:color w:val="000000"/>
          <w:sz w:val="26"/>
          <w:szCs w:val="26"/>
          <w:rtl w:val="0"/>
        </w:rPr>
        <w:t xml:space="preserve">Alcance de la guía</w:t>
      </w:r>
    </w:p>
    <w:p w:rsidR="00000000" w:rsidDel="00000000" w:rsidP="00000000" w:rsidRDefault="00000000" w:rsidRPr="00000000" w14:paraId="00000059">
      <w:pPr>
        <w:spacing w:after="240" w:before="240" w:lineRule="auto"/>
        <w:rPr/>
      </w:pPr>
      <w:r w:rsidDel="00000000" w:rsidR="00000000" w:rsidRPr="00000000">
        <w:rPr>
          <w:rtl w:val="0"/>
        </w:rPr>
        <w:t xml:space="preserve">Los pasos que se describen a continuación permiten:</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tl w:val="0"/>
        </w:rPr>
        <w:t xml:space="preserve">Agregar nuevos roles de personas (</w:t>
      </w:r>
      <w:r w:rsidDel="00000000" w:rsidR="00000000" w:rsidRPr="00000000">
        <w:rPr>
          <w:i w:val="1"/>
          <w:iCs w:val="1"/>
          <w:rtl w:val="0"/>
        </w:rPr>
        <w:t xml:space="preserve">person-group</w:t>
      </w:r>
      <w:r w:rsidDel="00000000" w:rsidR="00000000" w:rsidRPr="00000000">
        <w:rPr>
          <w:rtl w:val="0"/>
        </w:rPr>
        <w:t xml:space="preserve">) y campos a cualquier tipo de referencia.</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Asegurar su correcta visualización en la interfaz.</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Garantizar la importación desde XML JATS.</w:t>
        <w:br w:type="textWrapping"/>
      </w:r>
    </w:p>
    <w:p w:rsidR="00000000" w:rsidDel="00000000" w:rsidP="00000000" w:rsidRDefault="00000000" w:rsidRPr="00000000" w14:paraId="0000005D">
      <w:pPr>
        <w:numPr>
          <w:ilvl w:val="0"/>
          <w:numId w:val="6"/>
        </w:numPr>
        <w:spacing w:after="240" w:before="0" w:beforeAutospacing="0" w:lineRule="auto"/>
        <w:ind w:left="720" w:hanging="360"/>
      </w:pPr>
      <w:r w:rsidDel="00000000" w:rsidR="00000000" w:rsidRPr="00000000">
        <w:rPr>
          <w:rtl w:val="0"/>
        </w:rPr>
        <w:t xml:space="preserve">Garantizar la exportación correcta de vuelta a JATS.</w:t>
        <w:br w:type="textWrapping"/>
      </w:r>
    </w:p>
    <w:p w:rsidR="00000000" w:rsidDel="00000000" w:rsidP="00000000" w:rsidRDefault="00000000" w:rsidRPr="00000000" w14:paraId="0000005E">
      <w:pPr>
        <w:pStyle w:val="Heading3"/>
        <w:keepNext w:val="0"/>
        <w:keepLines w:val="0"/>
        <w:spacing w:before="280" w:lineRule="auto"/>
        <w:rPr/>
      </w:pPr>
      <w:bookmarkStart w:colFirst="0" w:colLast="0" w:name="_btlf69hakofa" w:id="14"/>
      <w:bookmarkEnd w:id="14"/>
      <w:r w:rsidDel="00000000" w:rsidR="00000000" w:rsidRPr="00000000">
        <w:rPr>
          <w:b w:val="1"/>
          <w:bCs w:val="1"/>
          <w:color w:val="000000"/>
          <w:sz w:val="26"/>
          <w:szCs w:val="26"/>
          <w:rtl w:val="0"/>
        </w:rPr>
        <w:t xml:space="preserve">Caso: Implementación de nuevos person-group-types</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Aunque los ejemplos utilizan un nuevo rol (</w:t>
      </w:r>
      <w:r w:rsidDel="00000000" w:rsidR="00000000" w:rsidRPr="00000000">
        <w:rPr>
          <w:rFonts w:ascii="Roboto Mono" w:cs="Roboto Mono" w:eastAsia="Roboto Mono" w:hAnsi="Roboto Mono"/>
          <w:color w:val="188038"/>
          <w:rtl w:val="0"/>
        </w:rPr>
        <w:t xml:space="preserve">coordinator</w:t>
      </w:r>
      <w:r w:rsidDel="00000000" w:rsidR="00000000" w:rsidRPr="00000000">
        <w:rPr>
          <w:rtl w:val="0"/>
        </w:rPr>
        <w:t xml:space="preserve">), el procedimiento es </w:t>
      </w:r>
      <w:r w:rsidDel="00000000" w:rsidR="00000000" w:rsidRPr="00000000">
        <w:rPr>
          <w:b w:val="1"/>
          <w:bCs w:val="1"/>
          <w:rtl w:val="0"/>
        </w:rPr>
        <w:t xml:space="preserve">generalizable a cualquier person-group-type</w:t>
      </w:r>
      <w:r w:rsidDel="00000000" w:rsidR="00000000" w:rsidRPr="00000000">
        <w:rPr>
          <w:rtl w:val="0"/>
        </w:rPr>
        <w:t xml:space="preserve"> definido en JATS.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rPr>
      </w:pPr>
      <w:bookmarkStart w:colFirst="0" w:colLast="0" w:name="_xg4dep7qhaug" w:id="15"/>
      <w:bookmarkEnd w:id="15"/>
      <w:r w:rsidDel="00000000" w:rsidR="00000000" w:rsidRPr="00000000">
        <w:rPr>
          <w:b w:val="1"/>
          <w:bCs w:val="1"/>
          <w:color w:val="000000"/>
          <w:sz w:val="26"/>
          <w:szCs w:val="26"/>
          <w:rtl w:val="0"/>
        </w:rPr>
        <w:t xml:space="preserve">Paso 1: Extender el schema de la referencia</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Objetivo:</w:t>
      </w:r>
      <w:r w:rsidDel="00000000" w:rsidR="00000000" w:rsidRPr="00000000">
        <w:rPr>
          <w:rtl w:val="0"/>
        </w:rPr>
        <w:t xml:space="preserve"> permitir que el modelo interno de Texture reconozca el nuevo campo.</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Ubicación:</w:t>
        <w:br w:type="textWrapping"/>
      </w:r>
      <w:r w:rsidDel="00000000" w:rsidR="00000000" w:rsidRPr="00000000">
        <w:rPr>
          <w:rtl w:val="0"/>
        </w:rPr>
        <w:t xml:space="preserve"> Buscar la definición del schema correspondiente al tipo de referencia deseado:</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[TipoReferencia]Ref.schema =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Acción:</w:t>
        <w:br w:type="textWrapping"/>
      </w:r>
      <w:r w:rsidDel="00000000" w:rsidR="00000000" w:rsidRPr="00000000">
        <w:rPr>
          <w:rtl w:val="0"/>
        </w:rPr>
        <w:t xml:space="preserve"> Agregar una nueva entrada utilizando </w:t>
      </w:r>
      <w:r w:rsidDel="00000000" w:rsidR="00000000" w:rsidRPr="00000000">
        <w:rPr>
          <w:rFonts w:ascii="Roboto Mono" w:cs="Roboto Mono" w:eastAsia="Roboto Mono" w:hAnsi="Roboto Mono"/>
          <w:color w:val="188038"/>
          <w:rtl w:val="0"/>
        </w:rPr>
        <w:t xml:space="preserve">substance.CHILDREN('ref-contrib')</w:t>
      </w:r>
      <w:r w:rsidDel="00000000" w:rsidR="00000000" w:rsidRPr="00000000">
        <w:rPr>
          <w:rtl w:val="0"/>
        </w:rPr>
        <w:t xml:space="preserv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Ejemplo (book-ref):</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BookRef.schema = {</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'book-ref',</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authors: substance.CHILDREN('ref-contrib'),</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editors: substance.CHILDREN('ref-contrib'),</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coordinators: substance.CHILDREN('ref-contrib'), // ← NUEVO</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translators: substance.CHILDREN('ref-contrib'),</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resto del schema</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Este paso es imprescindible: si el campo no existe en el schema, no podrá ser persistido ni serializado.</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rPr>
      </w:pPr>
      <w:bookmarkStart w:colFirst="0" w:colLast="0" w:name="_6sp9n87wa3nx" w:id="16"/>
      <w:bookmarkEnd w:id="16"/>
      <w:r w:rsidDel="00000000" w:rsidR="00000000" w:rsidRPr="00000000">
        <w:rPr>
          <w:b w:val="1"/>
          <w:bCs w:val="1"/>
          <w:color w:val="000000"/>
          <w:sz w:val="26"/>
          <w:szCs w:val="26"/>
          <w:rtl w:val="0"/>
        </w:rPr>
        <w:t xml:space="preserve">Paso 2: Agregar rendering en la vista previa</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Objetivo:</w:t>
      </w:r>
      <w:r w:rsidDel="00000000" w:rsidR="00000000" w:rsidRPr="00000000">
        <w:rPr>
          <w:rtl w:val="0"/>
        </w:rPr>
        <w:t xml:space="preserve"> mostrar correctamente el nuevo rol en la previsualización de la referencia.</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Ubicación:</w:t>
        <w:br w:type="textWrapping"/>
      </w:r>
      <w:r w:rsidDel="00000000" w:rsidR="00000000" w:rsidRPr="00000000">
        <w:rPr>
          <w:rtl w:val="0"/>
        </w:rPr>
        <w:t xml:space="preserve"> Buscar la función renderer asociada al tipo de referencia:</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[tipoReferencia]Renderer(...)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Acción:</w:t>
        <w:br w:type="textWrapping"/>
      </w:r>
      <w:r w:rsidDel="00000000" w:rsidR="00000000" w:rsidRPr="00000000">
        <w:rPr>
          <w:rtl w:val="0"/>
        </w:rPr>
        <w:t xml:space="preserve"> Insertar el bloque de rendering </w:t>
      </w:r>
      <w:r w:rsidDel="00000000" w:rsidR="00000000" w:rsidRPr="00000000">
        <w:rPr>
          <w:b w:val="1"/>
          <w:bCs w:val="1"/>
          <w:rtl w:val="0"/>
        </w:rPr>
        <w:t xml:space="preserve">después de los person-groups existentes</w:t>
      </w:r>
      <w:r w:rsidDel="00000000" w:rsidR="00000000" w:rsidRPr="00000000">
        <w:rPr>
          <w:rtl w:val="0"/>
        </w:rPr>
        <w:t xml:space="preserve"> y antes del título o fuente.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bookRenderer($$, entityId, entityDb, exporter) {</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entity = entityDb.get(entityId);</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fragments = [];</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Authors (existente)</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(entity.authors.length &gt; 0) {</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fragments = fragments.concat(</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_renderAuthors($$, entity.authors, entityDb),</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 NUEVO person-group</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(entity.coordinators &amp;&amp; entity.coordinators.length &gt; 0) {</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coordinatorLabel = entity.coordinators.length &gt; 1 ? 'coords' : 'coord';</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fragments = fragments.concat(</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_renderAuthors($$, entity.coordinators, entityDb),</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coordinatorLabel,</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resto del renderer</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Convención de etiquetas:</w:t>
      </w:r>
    </w:p>
    <w:p w:rsidR="00000000" w:rsidDel="00000000" w:rsidP="00000000" w:rsidRDefault="00000000" w:rsidRPr="00000000" w14:paraId="00000096">
      <w:pPr>
        <w:numPr>
          <w:ilvl w:val="0"/>
          <w:numId w:val="9"/>
        </w:numPr>
        <w:spacing w:after="0" w:afterAutospacing="0" w:before="240" w:lineRule="auto"/>
        <w:ind w:left="720" w:hanging="360"/>
      </w:pPr>
      <w:r w:rsidDel="00000000" w:rsidR="00000000" w:rsidRPr="00000000">
        <w:rPr>
          <w:rtl w:val="0"/>
        </w:rPr>
        <w:t xml:space="preserve">Singular: </w:t>
      </w:r>
      <w:r w:rsidDel="00000000" w:rsidR="00000000" w:rsidRPr="00000000">
        <w:rPr>
          <w:rFonts w:ascii="Roboto Mono" w:cs="Roboto Mono" w:eastAsia="Roboto Mono" w:hAnsi="Roboto Mono"/>
          <w:color w:val="188038"/>
          <w:rtl w:val="0"/>
        </w:rPr>
        <w:t xml:space="preserve">coord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curator</w:t>
        <w:br w:type="textWrapping"/>
      </w:r>
    </w:p>
    <w:p w:rsidR="00000000" w:rsidDel="00000000" w:rsidP="00000000" w:rsidRDefault="00000000" w:rsidRPr="00000000" w14:paraId="00000097">
      <w:pPr>
        <w:numPr>
          <w:ilvl w:val="0"/>
          <w:numId w:val="9"/>
        </w:numPr>
        <w:spacing w:after="240" w:before="0" w:beforeAutospacing="0" w:lineRule="auto"/>
        <w:ind w:left="720" w:hanging="360"/>
      </w:pPr>
      <w:r w:rsidDel="00000000" w:rsidR="00000000" w:rsidRPr="00000000">
        <w:rPr>
          <w:rtl w:val="0"/>
        </w:rPr>
        <w:t xml:space="preserve">Plural: </w:t>
      </w:r>
      <w:r w:rsidDel="00000000" w:rsidR="00000000" w:rsidRPr="00000000">
        <w:rPr>
          <w:rFonts w:ascii="Roboto Mono" w:cs="Roboto Mono" w:eastAsia="Roboto Mono" w:hAnsi="Roboto Mono"/>
          <w:color w:val="188038"/>
          <w:rtl w:val="0"/>
        </w:rPr>
        <w:t xml:space="preserve">coords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translators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curators</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Mantener este patrón asegura consistencia con el resto del rendering de Texture.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sz w:val="34"/>
          <w:szCs w:val="34"/>
        </w:rPr>
      </w:pPr>
      <w:bookmarkStart w:colFirst="0" w:colLast="0" w:name="_3uqgfqcxwagk" w:id="17"/>
      <w:bookmarkEnd w:id="17"/>
      <w:r w:rsidDel="00000000" w:rsidR="00000000" w:rsidRPr="00000000">
        <w:rPr>
          <w:b w:val="1"/>
          <w:bCs w:val="1"/>
          <w:color w:val="000000"/>
          <w:sz w:val="26"/>
          <w:szCs w:val="26"/>
          <w:rtl w:val="0"/>
        </w:rPr>
        <w:t xml:space="preserve">Paso 3: Agregar etiquetas de la interfaz (UI labels)</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Objetivo:</w:t>
      </w:r>
      <w:r w:rsidDel="00000000" w:rsidR="00000000" w:rsidRPr="00000000">
        <w:rPr>
          <w:rtl w:val="0"/>
        </w:rPr>
        <w:t xml:space="preserve"> habilitar la edición del nuevo campo en la interfaz gráfica.</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Ubicación:</w:t>
        <w:br w:type="textWrapping"/>
      </w:r>
      <w:r w:rsidDel="00000000" w:rsidR="00000000" w:rsidRPr="00000000">
        <w:rPr>
          <w:rtl w:val="0"/>
        </w:rPr>
        <w:t xml:space="preserve"> Buscar la sección de configuración de labels, cercana a:</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config.addLabel('authors', 'Authors');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Acción:</w:t>
        <w:br w:type="textWrapping"/>
      </w:r>
      <w:r w:rsidDel="00000000" w:rsidR="00000000" w:rsidRPr="00000000">
        <w:rPr>
          <w:rtl w:val="0"/>
        </w:rPr>
        <w:t xml:space="preserve"> Agregar dos labels por cada nuevo campo:</w:t>
      </w:r>
    </w:p>
    <w:p w:rsidR="00000000" w:rsidDel="00000000" w:rsidP="00000000" w:rsidRDefault="00000000" w:rsidRPr="00000000" w14:paraId="000000A0">
      <w:pPr>
        <w:numPr>
          <w:ilvl w:val="0"/>
          <w:numId w:val="7"/>
        </w:numPr>
        <w:spacing w:after="0" w:afterAutospacing="0" w:before="240" w:lineRule="auto"/>
        <w:ind w:left="720" w:hanging="360"/>
      </w:pPr>
      <w:r w:rsidDel="00000000" w:rsidR="00000000" w:rsidRPr="00000000">
        <w:rPr>
          <w:rtl w:val="0"/>
        </w:rPr>
        <w:t xml:space="preserve">uno para visualización,</w:t>
        <w:br w:type="textWrapping"/>
      </w:r>
    </w:p>
    <w:p w:rsidR="00000000" w:rsidDel="00000000" w:rsidP="00000000" w:rsidRDefault="00000000" w:rsidRPr="00000000" w14:paraId="000000A1">
      <w:pPr>
        <w:numPr>
          <w:ilvl w:val="0"/>
          <w:numId w:val="7"/>
        </w:numPr>
        <w:spacing w:after="240" w:before="0" w:beforeAutospacing="0" w:lineRule="auto"/>
        <w:ind w:left="720" w:hanging="360"/>
      </w:pPr>
      <w:r w:rsidDel="00000000" w:rsidR="00000000" w:rsidRPr="00000000">
        <w:rPr>
          <w:rtl w:val="0"/>
        </w:rPr>
        <w:t xml:space="preserve">otro para el modo de edición.</w:t>
        <w:br w:type="textWrapping"/>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config.addLabel('coordinators', 'Coordinators');</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config.addLabel('edit-coordinators', 'Edit Coordinators');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Sin este paso, el campo puede existir en el modelo pero no será accesible desde la UI.</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sz w:val="34"/>
          <w:szCs w:val="34"/>
        </w:rPr>
      </w:pPr>
      <w:bookmarkStart w:colFirst="0" w:colLast="0" w:name="_d0a0wvgxjpkf" w:id="18"/>
      <w:bookmarkEnd w:id="18"/>
      <w:r w:rsidDel="00000000" w:rsidR="00000000" w:rsidRPr="00000000">
        <w:rPr>
          <w:b w:val="1"/>
          <w:bCs w:val="1"/>
          <w:color w:val="000000"/>
          <w:sz w:val="26"/>
          <w:szCs w:val="26"/>
          <w:rtl w:val="0"/>
        </w:rPr>
        <w:t xml:space="preserve">Paso 4: Importación desde JATS</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Objetivo:</w:t>
      </w:r>
      <w:r w:rsidDel="00000000" w:rsidR="00000000" w:rsidRPr="00000000">
        <w:rPr>
          <w:rtl w:val="0"/>
        </w:rPr>
        <w:t xml:space="preserve"> poblar el nuevo campo al cargar un XML existente.</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Ubicación:</w:t>
        <w:br w:type="textWrapping"/>
      </w:r>
      <w:r w:rsidDel="00000000" w:rsidR="00000000" w:rsidRPr="00000000">
        <w:rPr>
          <w:rtl w:val="0"/>
        </w:rPr>
        <w:t xml:space="preserve"> Función </w:t>
      </w:r>
      <w:r w:rsidDel="00000000" w:rsidR="00000000" w:rsidRPr="00000000">
        <w:rPr>
          <w:rFonts w:ascii="Roboto Mono" w:cs="Roboto Mono" w:eastAsia="Roboto Mono" w:hAnsi="Roboto Mono"/>
          <w:color w:val="188038"/>
          <w:rtl w:val="0"/>
        </w:rPr>
        <w:t xml:space="preserve">_importElementCitation</w:t>
      </w:r>
      <w:r w:rsidDel="00000000" w:rsidR="00000000" w:rsidRPr="00000000">
        <w:rPr>
          <w:rtl w:val="0"/>
        </w:rPr>
        <w:t xml:space="preserve">, donde se invoca </w:t>
      </w:r>
      <w:r w:rsidDel="00000000" w:rsidR="00000000" w:rsidRPr="00000000">
        <w:rPr>
          <w:rFonts w:ascii="Roboto Mono" w:cs="Roboto Mono" w:eastAsia="Roboto Mono" w:hAnsi="Roboto Mono"/>
          <w:color w:val="188038"/>
          <w:rtl w:val="0"/>
        </w:rPr>
        <w:t xml:space="preserve">_importPersonGroup</w:t>
      </w: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Acción:</w:t>
        <w:br w:type="textWrapping"/>
      </w:r>
      <w:r w:rsidDel="00000000" w:rsidR="00000000" w:rsidRPr="00000000">
        <w:rPr>
          <w:rtl w:val="0"/>
        </w:rPr>
        <w:t xml:space="preserve"> Agregar la importación del nuevo </w:t>
      </w:r>
      <w:r w:rsidDel="00000000" w:rsidR="00000000" w:rsidRPr="00000000">
        <w:rPr>
          <w:rFonts w:ascii="Roboto Mono" w:cs="Roboto Mono" w:eastAsia="Roboto Mono" w:hAnsi="Roboto Mono"/>
          <w:color w:val="188038"/>
          <w:rtl w:val="0"/>
        </w:rPr>
        <w:t xml:space="preserve">person-group-type</w:t>
      </w:r>
      <w:r w:rsidDel="00000000" w:rsidR="00000000" w:rsidRPr="00000000">
        <w:rPr>
          <w:rtl w:val="0"/>
        </w:rPr>
        <w:t xml:space="preserv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_importElementCitation(el, node, doc, importer) {</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código existente ...</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node.authors = _importPersonGroup(el, doc, 'author');</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node.editors = _importPersonGroup(el, doc, 'editor');</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node.coordinators = _importPersonGroup(el, doc, 'coordinator'); // ← NUEVO</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node.compilers = _importPersonGroup(el, doc, 'compiler');</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node.translators = _importPersonGroup(el, doc, 'translator');</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resto del código ...</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Nota crítica:</w:t>
        <w:br w:type="textWrapping"/>
      </w:r>
      <w:r w:rsidDel="00000000" w:rsidR="00000000" w:rsidRPr="00000000">
        <w:rPr>
          <w:rtl w:val="0"/>
        </w:rPr>
        <w:t xml:space="preserve"> El valor </w:t>
      </w:r>
      <w:r w:rsidDel="00000000" w:rsidR="00000000" w:rsidRPr="00000000">
        <w:rPr>
          <w:rFonts w:ascii="Roboto Mono" w:cs="Roboto Mono" w:eastAsia="Roboto Mono" w:hAnsi="Roboto Mono"/>
          <w:color w:val="188038"/>
          <w:rtl w:val="0"/>
        </w:rPr>
        <w:t xml:space="preserve">'coordinator'</w:t>
      </w:r>
      <w:r w:rsidDel="00000000" w:rsidR="00000000" w:rsidRPr="00000000">
        <w:rPr>
          <w:rtl w:val="0"/>
        </w:rPr>
        <w:t xml:space="preserve"> debe coincidir </w:t>
      </w:r>
      <w:r w:rsidDel="00000000" w:rsidR="00000000" w:rsidRPr="00000000">
        <w:rPr>
          <w:b w:val="1"/>
          <w:bCs w:val="1"/>
          <w:rtl w:val="0"/>
        </w:rPr>
        <w:t xml:space="preserve">exactamente</w:t>
      </w:r>
      <w:r w:rsidDel="00000000" w:rsidR="00000000" w:rsidRPr="00000000">
        <w:rPr>
          <w:rtl w:val="0"/>
        </w:rPr>
        <w:t xml:space="preserve"> con el atributo </w:t>
      </w:r>
      <w:r w:rsidDel="00000000" w:rsidR="00000000" w:rsidRPr="00000000">
        <w:rPr>
          <w:rFonts w:ascii="Roboto Mono" w:cs="Roboto Mono" w:eastAsia="Roboto Mono" w:hAnsi="Roboto Mono"/>
          <w:color w:val="188038"/>
          <w:rtl w:val="0"/>
        </w:rPr>
        <w:t xml:space="preserve">person-group-type</w:t>
      </w:r>
      <w:r w:rsidDel="00000000" w:rsidR="00000000" w:rsidRPr="00000000">
        <w:rPr>
          <w:rtl w:val="0"/>
        </w:rPr>
        <w:t xml:space="preserve"> presente en el XML JATS.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sz w:val="34"/>
          <w:szCs w:val="34"/>
        </w:rPr>
      </w:pPr>
      <w:bookmarkStart w:colFirst="0" w:colLast="0" w:name="_3rb1fmcewj5y" w:id="19"/>
      <w:bookmarkEnd w:id="19"/>
      <w:r w:rsidDel="00000000" w:rsidR="00000000" w:rsidRPr="00000000">
        <w:rPr>
          <w:b w:val="1"/>
          <w:bCs w:val="1"/>
          <w:color w:val="000000"/>
          <w:sz w:val="26"/>
          <w:szCs w:val="26"/>
          <w:rtl w:val="0"/>
        </w:rPr>
        <w:t xml:space="preserve">Paso 5: Exportación de XML JATS</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asegurar que el nuevo campo se serialice correctamente al guardar.</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Ubicación:</w:t>
        <w:br w:type="textWrapping"/>
      </w:r>
      <w:r w:rsidDel="00000000" w:rsidR="00000000" w:rsidRPr="00000000">
        <w:rPr>
          <w:rtl w:val="0"/>
        </w:rPr>
        <w:t xml:space="preserve"> Función </w:t>
      </w:r>
      <w:r w:rsidDel="00000000" w:rsidR="00000000" w:rsidRPr="00000000">
        <w:rPr>
          <w:rFonts w:ascii="Roboto Mono" w:cs="Roboto Mono" w:eastAsia="Roboto Mono" w:hAnsi="Roboto Mono"/>
          <w:color w:val="188038"/>
          <w:rtl w:val="0"/>
        </w:rPr>
        <w:t xml:space="preserve">_exportElementCitation</w:t>
      </w: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Acción:</w:t>
        <w:br w:type="textWrapping"/>
      </w:r>
      <w:r w:rsidDel="00000000" w:rsidR="00000000" w:rsidRPr="00000000">
        <w:rPr>
          <w:rtl w:val="0"/>
        </w:rPr>
        <w:t xml:space="preserve"> Agregar una llamada a </w:t>
      </w:r>
      <w:r w:rsidDel="00000000" w:rsidR="00000000" w:rsidRPr="00000000">
        <w:rPr>
          <w:rFonts w:ascii="Roboto Mono" w:cs="Roboto Mono" w:eastAsia="Roboto Mono" w:hAnsi="Roboto Mono"/>
          <w:color w:val="188038"/>
          <w:rtl w:val="0"/>
        </w:rPr>
        <w:t xml:space="preserve">_exportPersonGroup</w:t>
      </w:r>
      <w:r w:rsidDel="00000000" w:rsidR="00000000" w:rsidRPr="00000000">
        <w:rPr>
          <w:rtl w:val="0"/>
        </w:rPr>
        <w:t xml:space="preserve"> para el nuevo campo.</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_exportElementCitation(node, exporter) {</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código existente ...</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el.append(_exportPersonGroup($$, doc, node.authors, 'author'));</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el.append(_exportPersonGroup($$, doc, node.editors, 'editor'));</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el.append(_exportPersonGroup($$, doc, node.coordinators, 'coordinator')); // ← NUEVO</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el.append(_exportPersonGroup($$, doc, node.compilers, 'compiler'));</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el.append(_exportPersonGroup($$, doc, node.translators, 'translator'));</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resto del código ...</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La omisión de este paso provoca </w:t>
      </w:r>
      <w:r w:rsidDel="00000000" w:rsidR="00000000" w:rsidRPr="00000000">
        <w:rPr>
          <w:b w:val="1"/>
          <w:bCs w:val="1"/>
          <w:rtl w:val="0"/>
        </w:rPr>
        <w:t xml:space="preserve">pérdida silenciosa de datos</w:t>
      </w:r>
      <w:r w:rsidDel="00000000" w:rsidR="00000000" w:rsidRPr="00000000">
        <w:rPr>
          <w:rtl w:val="0"/>
        </w:rPr>
        <w:t xml:space="preserve">, aun cuando el campo sea visible y editable en el editor.</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qhf3lacl8i4o" w:id="20"/>
      <w:bookmarkEnd w:id="20"/>
      <w:r w:rsidDel="00000000" w:rsidR="00000000" w:rsidRPr="00000000">
        <w:rPr>
          <w:b w:val="1"/>
          <w:bCs w:val="1"/>
          <w:color w:val="000000"/>
          <w:sz w:val="26"/>
          <w:szCs w:val="26"/>
          <w:rtl w:val="0"/>
        </w:rPr>
        <w:t xml:space="preserve">Caso: Implementación de campos en referencias de tesis</w:t>
      </w:r>
    </w:p>
    <w:p w:rsidR="00000000" w:rsidDel="00000000" w:rsidP="00000000" w:rsidRDefault="00000000" w:rsidRPr="00000000" w14:paraId="000000CF">
      <w:pPr>
        <w:spacing w:after="240" w:before="240" w:lineRule="auto"/>
        <w:rPr/>
      </w:pPr>
      <w:r w:rsidDel="00000000" w:rsidR="00000000" w:rsidRPr="00000000">
        <w:rPr>
          <w:rtl w:val="0"/>
        </w:rPr>
        <w:t xml:space="preserve">Además de la extensión de </w:t>
      </w:r>
      <w:r w:rsidDel="00000000" w:rsidR="00000000" w:rsidRPr="00000000">
        <w:rPr>
          <w:i w:val="1"/>
          <w:iCs w:val="1"/>
          <w:rtl w:val="0"/>
        </w:rPr>
        <w:t xml:space="preserve">person-group types</w:t>
      </w:r>
      <w:r w:rsidDel="00000000" w:rsidR="00000000" w:rsidRPr="00000000">
        <w:rPr>
          <w:rtl w:val="0"/>
        </w:rPr>
        <w:t xml:space="preserve">, en SUMARC fue necesario incorporar </w:t>
      </w:r>
      <w:r w:rsidDel="00000000" w:rsidR="00000000" w:rsidRPr="00000000">
        <w:rPr>
          <w:b w:val="1"/>
          <w:bCs w:val="1"/>
          <w:rtl w:val="0"/>
        </w:rPr>
        <w:t xml:space="preserve">campos estructurales adicionales</w:t>
      </w:r>
      <w:r w:rsidDel="00000000" w:rsidR="00000000" w:rsidRPr="00000000">
        <w:rPr>
          <w:rtl w:val="0"/>
        </w:rPr>
        <w:t xml:space="preserve"> a determinados tipos de referencias. Este apartado documenta el procedimiento seguido para extender el tipo de referencia </w:t>
      </w:r>
      <w:r w:rsidDel="00000000" w:rsidR="00000000" w:rsidRPr="00000000">
        <w:rPr>
          <w:b w:val="1"/>
          <w:bCs w:val="1"/>
          <w:rtl w:val="0"/>
        </w:rPr>
        <w:t xml:space="preserve">Thesis</w:t>
      </w:r>
      <w:r w:rsidDel="00000000" w:rsidR="00000000" w:rsidRPr="00000000">
        <w:rPr>
          <w:rtl w:val="0"/>
        </w:rPr>
        <w:t xml:space="preserve">, incorporando nuevos metadatos exigidos por el flujo editorial.</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2xxb0qiw3203" w:id="21"/>
      <w:bookmarkEnd w:id="21"/>
      <w:r w:rsidDel="00000000" w:rsidR="00000000" w:rsidRPr="00000000">
        <w:rPr>
          <w:b w:val="1"/>
          <w:bCs w:val="1"/>
          <w:color w:val="000000"/>
          <w:sz w:val="26"/>
          <w:szCs w:val="26"/>
          <w:rtl w:val="0"/>
        </w:rPr>
        <w:t xml:space="preserve">Paso 1: Extensión del schema</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Objetivo:</w:t>
      </w:r>
      <w:r w:rsidDel="00000000" w:rsidR="00000000" w:rsidRPr="00000000">
        <w:rPr>
          <w:rtl w:val="0"/>
        </w:rPr>
        <w:t xml:space="preserve"> habilitar la persistencia de los nuevos campos en el modelo interno.</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Ubicación:</w:t>
        <w:br w:type="textWrapping"/>
      </w:r>
      <w:r w:rsidDel="00000000" w:rsidR="00000000" w:rsidRPr="00000000">
        <w:rPr>
          <w:rtl w:val="0"/>
        </w:rPr>
        <w:t xml:space="preserve"> Definición de </w:t>
      </w:r>
      <w:r w:rsidDel="00000000" w:rsidR="00000000" w:rsidRPr="00000000">
        <w:rPr>
          <w:rFonts w:ascii="Roboto Mono" w:cs="Roboto Mono" w:eastAsia="Roboto Mono" w:hAnsi="Roboto Mono"/>
          <w:color w:val="188038"/>
          <w:rtl w:val="0"/>
        </w:rPr>
        <w:t xml:space="preserve">ThesisRef.schema</w:t>
      </w:r>
      <w:r w:rsidDel="00000000" w:rsidR="00000000" w:rsidRPr="00000000">
        <w:rPr>
          <w:rtl w:val="0"/>
        </w:rPr>
        <w:t xml:space="preserve">.</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Acción:</w:t>
        <w:br w:type="textWrapping"/>
      </w:r>
      <w:r w:rsidDel="00000000" w:rsidR="00000000" w:rsidRPr="00000000">
        <w:rPr>
          <w:rtl w:val="0"/>
        </w:rPr>
        <w:t xml:space="preserve"> Agregar propiedades de tipo </w:t>
      </w:r>
      <w:r w:rsidDel="00000000" w:rsidR="00000000" w:rsidRPr="00000000">
        <w:rPr>
          <w:rFonts w:ascii="Roboto Mono" w:cs="Roboto Mono" w:eastAsia="Roboto Mono" w:hAnsi="Roboto Mono"/>
          <w:color w:val="188038"/>
          <w:rtl w:val="0"/>
        </w:rPr>
        <w:t xml:space="preserve">substance.STRING</w:t>
      </w:r>
      <w:r w:rsidDel="00000000" w:rsidR="00000000" w:rsidRPr="00000000">
        <w:rPr>
          <w:rtl w:val="0"/>
        </w:rPr>
        <w:t xml:space="preserve">.</w:t>
      </w:r>
    </w:p>
    <w:p w:rsidR="00000000" w:rsidDel="00000000" w:rsidP="00000000" w:rsidRDefault="00000000" w:rsidRPr="00000000" w14:paraId="000000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ThesisRef.schema = {</w:t>
      </w:r>
    </w:p>
    <w:p w:rsidR="00000000" w:rsidDel="00000000" w:rsidP="00000000" w:rsidRDefault="00000000" w:rsidRPr="00000000" w14:paraId="000000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campos existentes</w:t>
      </w:r>
    </w:p>
    <w:p w:rsidR="00000000" w:rsidDel="00000000" w:rsidP="00000000" w:rsidRDefault="00000000" w:rsidRPr="00000000" w14:paraId="000000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degree: substance.STRING,</w:t>
      </w:r>
    </w:p>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awardingInstitution: substance.STRING,</w:t>
      </w:r>
    </w:p>
    <w:p w:rsidR="00000000" w:rsidDel="00000000" w:rsidP="00000000" w:rsidRDefault="00000000" w:rsidRPr="00000000" w14:paraId="000000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publicationNumber: substance.STRING,</w:t>
      </w:r>
    </w:p>
    <w:p w:rsidR="00000000" w:rsidDel="00000000" w:rsidP="00000000" w:rsidRDefault="00000000" w:rsidRPr="00000000" w14:paraId="000000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Este paso define formalmente la estructura de datos que manejará Texture para las referencias de tesis.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72564dzeo4vm" w:id="22"/>
      <w:bookmarkEnd w:id="22"/>
      <w:r w:rsidDel="00000000" w:rsidR="00000000" w:rsidRPr="00000000">
        <w:rPr>
          <w:b w:val="1"/>
          <w:bCs w:val="1"/>
          <w:color w:val="000000"/>
          <w:sz w:val="26"/>
          <w:szCs w:val="26"/>
          <w:rtl w:val="0"/>
        </w:rPr>
        <w:t xml:space="preserve">Paso 2: Importación desde XML JATS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Objetivo:</w:t>
      </w:r>
      <w:r w:rsidDel="00000000" w:rsidR="00000000" w:rsidRPr="00000000">
        <w:rPr>
          <w:rtl w:val="0"/>
        </w:rPr>
        <w:t xml:space="preserve"> leer los valores desde documentos JATS existentes.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Ubicación:</w:t>
        <w:br w:type="textWrapping"/>
      </w:r>
      <w:r w:rsidDel="00000000" w:rsidR="00000000" w:rsidRPr="00000000">
        <w:rPr>
          <w:rtl w:val="0"/>
        </w:rPr>
        <w:t xml:space="preserve"> Función de importación de citas (</w:t>
      </w:r>
      <w:r w:rsidDel="00000000" w:rsidR="00000000" w:rsidRPr="00000000">
        <w:rPr>
          <w:rFonts w:ascii="Roboto Mono" w:cs="Roboto Mono" w:eastAsia="Roboto Mono" w:hAnsi="Roboto Mono"/>
          <w:color w:val="188038"/>
          <w:rtl w:val="0"/>
        </w:rPr>
        <w:t xml:space="preserve">ElementCitationConverter.prototype.import</w:t>
      </w:r>
      <w:r w:rsidDel="00000000" w:rsidR="00000000" w:rsidRPr="00000000">
        <w:rPr>
          <w:rtl w:val="0"/>
        </w:rPr>
        <w:t xml:space="preserve">), dentro del helper </w:t>
      </w:r>
      <w:r w:rsidDel="00000000" w:rsidR="00000000" w:rsidRPr="00000000">
        <w:rPr>
          <w:rFonts w:ascii="Roboto Mono" w:cs="Roboto Mono" w:eastAsia="Roboto Mono" w:hAnsi="Roboto Mono"/>
          <w:color w:val="188038"/>
          <w:rtl w:val="0"/>
        </w:rPr>
        <w:t xml:space="preserve">_setCitationObjects</w:t>
      </w: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Acción:</w:t>
        <w:br w:type="textWrapping"/>
      </w:r>
      <w:r w:rsidDel="00000000" w:rsidR="00000000" w:rsidRPr="00000000">
        <w:rPr>
          <w:rtl w:val="0"/>
        </w:rPr>
        <w:t xml:space="preserve"> Agregar reglas explícitas de mapeo desde XML a modelo:</w:t>
      </w:r>
    </w:p>
    <w:p w:rsidR="00000000" w:rsidDel="00000000" w:rsidP="00000000" w:rsidRDefault="00000000" w:rsidRPr="00000000" w14:paraId="000000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degree: getText(el, 'degree'),</w:t>
      </w:r>
    </w:p>
    <w:p w:rsidR="00000000" w:rsidDel="00000000" w:rsidP="00000000" w:rsidRDefault="00000000" w:rsidRPr="00000000" w14:paraId="000000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awardingInstitution: getText(el, 'institution'),</w:t>
      </w:r>
    </w:p>
    <w:p w:rsidR="00000000" w:rsidDel="00000000" w:rsidP="00000000" w:rsidRDefault="00000000" w:rsidRPr="00000000" w14:paraId="000000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publicationNumber: getText(el, 'pub-id[pub-id-type=other]'),</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Este mapeo refleja decisiones editoriales específicas:</w:t>
      </w:r>
    </w:p>
    <w:p w:rsidR="00000000" w:rsidDel="00000000" w:rsidP="00000000" w:rsidRDefault="00000000" w:rsidRPr="00000000" w14:paraId="000000E8">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se toma directamente del elemento </w:t>
      </w:r>
      <w:r w:rsidDel="00000000" w:rsidR="00000000" w:rsidRPr="00000000">
        <w:rPr>
          <w:rFonts w:ascii="Roboto Mono" w:cs="Roboto Mono" w:eastAsia="Roboto Mono" w:hAnsi="Roboto Mono"/>
          <w:color w:val="188038"/>
          <w:rtl w:val="0"/>
        </w:rPr>
        <w:t xml:space="preserve">&lt;degree&gt;</w:t>
        <w:br w:type="textWrapping"/>
      </w:r>
    </w:p>
    <w:p w:rsidR="00000000" w:rsidDel="00000000" w:rsidP="00000000" w:rsidRDefault="00000000" w:rsidRPr="00000000" w14:paraId="000000E9">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institution</w:t>
      </w:r>
      <w:r w:rsidDel="00000000" w:rsidR="00000000" w:rsidRPr="00000000">
        <w:rPr>
          <w:rtl w:val="0"/>
        </w:rPr>
        <w:t xml:space="preserve"> se reutiliza como institución otorgante</w:t>
        <w:br w:type="textWrapping"/>
      </w:r>
    </w:p>
    <w:p w:rsidR="00000000" w:rsidDel="00000000" w:rsidP="00000000" w:rsidRDefault="00000000" w:rsidRPr="00000000" w14:paraId="000000EA">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pub-id</w:t>
      </w:r>
      <w:r w:rsidDel="00000000" w:rsidR="00000000" w:rsidRPr="00000000">
        <w:rPr>
          <w:rtl w:val="0"/>
        </w:rPr>
        <w:t xml:space="preserve"> se restringe mediante </w:t>
      </w:r>
      <w:r w:rsidDel="00000000" w:rsidR="00000000" w:rsidRPr="00000000">
        <w:rPr>
          <w:rFonts w:ascii="Roboto Mono" w:cs="Roboto Mono" w:eastAsia="Roboto Mono" w:hAnsi="Roboto Mono"/>
          <w:color w:val="188038"/>
          <w:rtl w:val="0"/>
        </w:rPr>
        <w:t xml:space="preserve">pub-id-type="other"</w:t>
      </w:r>
    </w:p>
    <w:p w:rsidR="00000000" w:rsidDel="00000000" w:rsidP="00000000" w:rsidRDefault="00000000" w:rsidRPr="00000000" w14:paraId="000000EB">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xt1ruei60rmg" w:id="23"/>
      <w:bookmarkEnd w:id="23"/>
      <w:r w:rsidDel="00000000" w:rsidR="00000000" w:rsidRPr="00000000">
        <w:rPr>
          <w:b w:val="1"/>
          <w:bCs w:val="1"/>
          <w:color w:val="000000"/>
          <w:sz w:val="26"/>
          <w:szCs w:val="26"/>
          <w:rtl w:val="0"/>
        </w:rPr>
        <w:t xml:space="preserve">Paso 3: Exportación a JATS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asegurar que los nuevos campos se serialicen correctamente al guardar.</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Ubicación:</w:t>
        <w:br w:type="textWrapping"/>
      </w:r>
      <w:r w:rsidDel="00000000" w:rsidR="00000000" w:rsidRPr="00000000">
        <w:rPr>
          <w:rtl w:val="0"/>
        </w:rPr>
        <w:t xml:space="preserve"> Función </w:t>
      </w:r>
      <w:r w:rsidDel="00000000" w:rsidR="00000000" w:rsidRPr="00000000">
        <w:rPr>
          <w:rFonts w:ascii="Roboto Mono" w:cs="Roboto Mono" w:eastAsia="Roboto Mono" w:hAnsi="Roboto Mono"/>
          <w:color w:val="188038"/>
          <w:rtl w:val="0"/>
        </w:rPr>
        <w:t xml:space="preserve">ElementCitationConverter.prototype.export</w:t>
      </w:r>
      <w:r w:rsidDel="00000000" w:rsidR="00000000" w:rsidRPr="00000000">
        <w:rPr>
          <w:rtl w:val="0"/>
        </w:rPr>
        <w:t xml:space="preserve">, helper </w:t>
      </w:r>
      <w:r w:rsidDel="00000000" w:rsidR="00000000" w:rsidRPr="00000000">
        <w:rPr>
          <w:rFonts w:ascii="Roboto Mono" w:cs="Roboto Mono" w:eastAsia="Roboto Mono" w:hAnsi="Roboto Mono"/>
          <w:color w:val="188038"/>
          <w:rtl w:val="0"/>
        </w:rPr>
        <w:t xml:space="preserve">_exportElementCitation</w:t>
      </w:r>
      <w:r w:rsidDel="00000000" w:rsidR="00000000" w:rsidRPr="00000000">
        <w:rPr>
          <w:rtl w:val="0"/>
        </w:rPr>
        <w:t xml:space="preserve">.</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Acción:</w:t>
        <w:br w:type="textWrapping"/>
      </w:r>
      <w:r w:rsidDel="00000000" w:rsidR="00000000" w:rsidRPr="00000000">
        <w:rPr>
          <w:rtl w:val="0"/>
        </w:rPr>
        <w:t xml:space="preserve"> Inyectar la creación de los elementos XML correspondientes, manteniendo un orden lógico dentro de la referencia:</w:t>
      </w:r>
    </w:p>
    <w:p w:rsidR="00000000" w:rsidDel="00000000" w:rsidP="00000000" w:rsidRDefault="00000000" w:rsidRPr="00000000" w14:paraId="000000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el.append(_createTextElement$1($$, node.degree, 'degree'));</w:t>
      </w:r>
    </w:p>
    <w:p w:rsidR="00000000" w:rsidDel="00000000" w:rsidP="00000000" w:rsidRDefault="00000000" w:rsidRPr="00000000" w14:paraId="000000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el.append(_createTextElement$1($$, node.awardingInstitution, 'institution'));</w:t>
      </w:r>
    </w:p>
    <w:p w:rsidR="00000000" w:rsidDel="00000000" w:rsidP="00000000" w:rsidRDefault="00000000" w:rsidRPr="00000000" w14:paraId="000000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el.append(</w:t>
      </w:r>
    </w:p>
    <w:p w:rsidR="00000000" w:rsidDel="00000000" w:rsidP="00000000" w:rsidRDefault="00000000" w:rsidRPr="00000000" w14:paraId="000000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_createTextElement$1($$, node.publicationNumber, 'pub-id', {</w:t>
      </w:r>
    </w:p>
    <w:p w:rsidR="00000000" w:rsidDel="00000000" w:rsidP="00000000" w:rsidRDefault="00000000" w:rsidRPr="00000000" w14:paraId="000000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'pub-id-type': 'other'</w:t>
      </w:r>
    </w:p>
    <w:p w:rsidR="00000000" w:rsidDel="00000000" w:rsidP="00000000" w:rsidRDefault="00000000" w:rsidRPr="00000000" w14:paraId="000000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7">
      <w:pPr>
        <w:spacing w:after="240" w:before="240" w:lineRule="auto"/>
        <w:rPr/>
      </w:pPr>
      <w:r w:rsidDel="00000000" w:rsidR="00000000" w:rsidRPr="00000000">
        <w:rPr>
          <w:rtl w:val="0"/>
        </w:rPr>
        <w:t xml:space="preserve">La posición de estos elementos se definió después del año de publicación, para preservar coherencia semántica y legibilidad del XML resultante.</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qeimaz73u660" w:id="24"/>
      <w:bookmarkEnd w:id="24"/>
      <w:r w:rsidDel="00000000" w:rsidR="00000000" w:rsidRPr="00000000">
        <w:rPr>
          <w:b w:val="1"/>
          <w:bCs w:val="1"/>
          <w:color w:val="000000"/>
          <w:sz w:val="26"/>
          <w:szCs w:val="26"/>
          <w:rtl w:val="0"/>
        </w:rPr>
        <w:t xml:space="preserve">Paso 4: Interfaz de usuario (labels)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Objetivo:</w:t>
      </w:r>
      <w:r w:rsidDel="00000000" w:rsidR="00000000" w:rsidRPr="00000000">
        <w:rPr>
          <w:rtl w:val="0"/>
        </w:rPr>
        <w:t xml:space="preserve"> habilitar la edición de los nuevos campos desde la UI.</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Ubicación:</w:t>
        <w:br w:type="textWrapping"/>
      </w:r>
      <w:r w:rsidDel="00000000" w:rsidR="00000000" w:rsidRPr="00000000">
        <w:rPr>
          <w:rtl w:val="0"/>
        </w:rPr>
        <w:t xml:space="preserve"> Configuración global de labels de Texture.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Acción:</w:t>
        <w:br w:type="textWrapping"/>
      </w:r>
      <w:r w:rsidDel="00000000" w:rsidR="00000000" w:rsidRPr="00000000">
        <w:rPr>
          <w:rtl w:val="0"/>
        </w:rPr>
        <w:t xml:space="preserve"> Agregar etiquetas multilenguaje para cada nuevo campo:</w:t>
      </w:r>
    </w:p>
    <w:p w:rsidR="00000000" w:rsidDel="00000000" w:rsidP="00000000" w:rsidRDefault="00000000" w:rsidRPr="00000000" w14:paraId="000000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config.addLabel('degree', { en: 'Degree', es: 'Grado' });</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config.addLabel('awardingInstitution', {</w:t>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 'Awarding Institution',</w:t>
      </w:r>
    </w:p>
    <w:p w:rsidR="00000000" w:rsidDel="00000000" w:rsidP="00000000" w:rsidRDefault="00000000" w:rsidRPr="00000000" w14:paraId="000001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 'Institución Otorgante'</w:t>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config.addLabel('publicationNumber', {</w:t>
      </w:r>
    </w:p>
    <w:p w:rsidR="00000000" w:rsidDel="00000000" w:rsidP="00000000" w:rsidRDefault="00000000" w:rsidRPr="00000000" w14:paraId="000001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 'Publication Number',</w:t>
      </w:r>
    </w:p>
    <w:p w:rsidR="00000000" w:rsidDel="00000000" w:rsidP="00000000" w:rsidRDefault="00000000" w:rsidRPr="00000000" w14:paraId="000001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 'Número de Publicación'</w:t>
      </w:r>
    </w:p>
    <w:p w:rsidR="00000000" w:rsidDel="00000000" w:rsidP="00000000" w:rsidRDefault="00000000" w:rsidRPr="00000000" w14:paraId="00000106">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Sin esta definición, los campos existirían en el modelo, pero no serían accesibles desde el editor visual.</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