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99FE9" w14:textId="63B7A974" w:rsidR="00551C1E" w:rsidRDefault="00551C1E" w:rsidP="00551C1E">
      <w:pPr>
        <w:pStyle w:val="Nzev"/>
      </w:pPr>
      <w:r>
        <w:t>Kinematika</w:t>
      </w:r>
    </w:p>
    <w:p w14:paraId="79E3451D" w14:textId="77777777" w:rsidR="00551C1E" w:rsidRDefault="00551C1E" w:rsidP="00332C3E">
      <w:pPr>
        <w:rPr>
          <w:sz w:val="28"/>
          <w:szCs w:val="28"/>
        </w:rPr>
      </w:pPr>
    </w:p>
    <w:p w14:paraId="3EDC39FC" w14:textId="590C06CC" w:rsidR="00551C1E" w:rsidRDefault="00332C3E" w:rsidP="00332C3E">
      <w:pPr>
        <w:rPr>
          <w:sz w:val="28"/>
          <w:szCs w:val="28"/>
        </w:rPr>
      </w:pPr>
      <w:r>
        <w:rPr>
          <w:sz w:val="28"/>
          <w:szCs w:val="28"/>
        </w:rPr>
        <w:t>Rovnoměrný a rovnoměrně zrychlený pohyb</w:t>
      </w:r>
    </w:p>
    <w:p w14:paraId="14CEDA21" w14:textId="5F53B52A" w:rsidR="00332C3E" w:rsidRPr="00551C1E" w:rsidRDefault="00332C3E" w:rsidP="00332C3E">
      <w:pPr>
        <w:rPr>
          <w:sz w:val="24"/>
          <w:szCs w:val="24"/>
        </w:rPr>
      </w:pPr>
      <w:r w:rsidRPr="00551C1E">
        <w:rPr>
          <w:sz w:val="24"/>
          <w:szCs w:val="24"/>
        </w:rPr>
        <w:t>Klid a pohyb jsou relativní.</w:t>
      </w:r>
    </w:p>
    <w:p w14:paraId="7AB1A9AC" w14:textId="3ECB615F" w:rsidR="00332C3E" w:rsidRPr="00551C1E" w:rsidRDefault="00332C3E" w:rsidP="00332C3E">
      <w:pPr>
        <w:rPr>
          <w:sz w:val="24"/>
          <w:szCs w:val="24"/>
        </w:rPr>
      </w:pPr>
      <w:r w:rsidRPr="00551C1E">
        <w:rPr>
          <w:rFonts w:eastAsiaTheme="minorEastAsia"/>
          <w:sz w:val="24"/>
          <w:szCs w:val="24"/>
        </w:rPr>
        <w:t>Hmotný bod:</w:t>
      </w:r>
      <w:r w:rsidRPr="00551C1E">
        <w:rPr>
          <w:sz w:val="24"/>
          <w:szCs w:val="24"/>
        </w:rPr>
        <w:t xml:space="preserve"> určená hmotnost, zanedbané rozměry.</w:t>
      </w:r>
    </w:p>
    <w:p w14:paraId="48806764" w14:textId="2662A919" w:rsidR="00C90B7F" w:rsidRPr="00551C1E" w:rsidRDefault="00C90B7F" w:rsidP="00C90B7F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Průvodič:</w:t>
      </w:r>
      <w:r w:rsidRPr="00551C1E">
        <w:rPr>
          <w:rFonts w:eastAsiaTheme="minorEastAsia"/>
          <w:sz w:val="24"/>
          <w:szCs w:val="24"/>
        </w:rPr>
        <w:t xml:space="preserve"> spojnice HB s</w:t>
      </w:r>
      <w:r>
        <w:rPr>
          <w:rFonts w:eastAsiaTheme="minorEastAsia"/>
          <w:sz w:val="24"/>
          <w:szCs w:val="24"/>
        </w:rPr>
        <w:t> počátkem souřadnic, např. se středem kružnice.</w:t>
      </w:r>
    </w:p>
    <w:p w14:paraId="4EAF1C47" w14:textId="10621B5E" w:rsidR="00332C3E" w:rsidRPr="00551C1E" w:rsidRDefault="00332C3E" w:rsidP="00332C3E">
      <w:pPr>
        <w:rPr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Trajektorie:</w:t>
      </w:r>
      <w:r w:rsidRPr="00551C1E">
        <w:rPr>
          <w:sz w:val="24"/>
          <w:szCs w:val="24"/>
        </w:rPr>
        <w:t xml:space="preserve"> posloupnost bodů, kterými projde HB.</w:t>
      </w:r>
    </w:p>
    <w:p w14:paraId="5E38DD75" w14:textId="28754AD7" w:rsidR="00332C3E" w:rsidRPr="00551C1E" w:rsidRDefault="00332C3E" w:rsidP="00332C3E">
      <w:pPr>
        <w:rPr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Dráha:</w:t>
      </w:r>
      <w:r w:rsidRPr="00551C1E">
        <w:rPr>
          <w:sz w:val="24"/>
          <w:szCs w:val="24"/>
        </w:rPr>
        <w:t xml:space="preserve"> délka trajektorie v metrech.</w:t>
      </w:r>
    </w:p>
    <w:p w14:paraId="45820A23" w14:textId="1D12F8A9" w:rsidR="00332C3E" w:rsidRPr="00551C1E" w:rsidRDefault="00332C3E" w:rsidP="00332C3E">
      <w:pPr>
        <w:rPr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Zrychlení:</w:t>
      </w:r>
      <w:r w:rsidRPr="00551C1E">
        <w:rPr>
          <w:sz w:val="24"/>
          <w:szCs w:val="24"/>
        </w:rPr>
        <w:t xml:space="preserve"> změna rychlosti za změnu času</w:t>
      </w:r>
    </w:p>
    <w:p w14:paraId="3ACFB39B" w14:textId="3426DD28" w:rsidR="00332C3E" w:rsidRDefault="00332C3E" w:rsidP="00332C3E">
      <w:p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v=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Pr="00551C1E">
        <w:rPr>
          <w:rFonts w:eastAsiaTheme="minorEastAsia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/>
            <w:sz w:val="24"/>
            <w:szCs w:val="24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v-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t-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</m:sSub>
          </m:den>
        </m:f>
      </m:oMath>
      <w:r w:rsidRPr="00551C1E">
        <w:rPr>
          <w:rFonts w:eastAsiaTheme="minorEastAsia"/>
          <w:sz w:val="24"/>
          <w:szCs w:val="24"/>
        </w:rPr>
        <w:t xml:space="preserve">      </w:t>
      </w:r>
      <m:oMath>
        <m:r>
          <w:rPr>
            <w:rFonts w:ascii="Cambria Math" w:eastAsiaTheme="minorEastAsia" w:hAnsi="Cambria Math"/>
            <w:sz w:val="24"/>
            <w:szCs w:val="24"/>
          </w:rPr>
          <m:t>s=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t+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</w:p>
    <w:p w14:paraId="330DB60D" w14:textId="77777777" w:rsidR="00551C1E" w:rsidRPr="00551C1E" w:rsidRDefault="00551C1E" w:rsidP="00332C3E">
      <w:pPr>
        <w:rPr>
          <w:rFonts w:eastAsiaTheme="minorEastAsia"/>
          <w:sz w:val="24"/>
          <w:szCs w:val="24"/>
        </w:rPr>
      </w:pPr>
    </w:p>
    <w:p w14:paraId="76CA9D25" w14:textId="300DDCED" w:rsidR="00551C1E" w:rsidRDefault="00332C3E" w:rsidP="00332C3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Volný pád</w:t>
      </w:r>
    </w:p>
    <w:p w14:paraId="58A530FE" w14:textId="69CB9C84" w:rsidR="008B74BE" w:rsidRPr="00551C1E" w:rsidRDefault="008B74BE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sz w:val="24"/>
          <w:szCs w:val="24"/>
        </w:rPr>
        <w:t>Je to rovnoměrně zrychlený pohyb.</w:t>
      </w:r>
    </w:p>
    <w:p w14:paraId="0BC35A80" w14:textId="47BDD51A" w:rsidR="00332C3E" w:rsidRPr="00551C1E" w:rsidRDefault="00332C3E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Tíhové zrychlení:</w:t>
      </w:r>
      <w:r w:rsidRPr="00551C1E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g=9,81m∙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</w:p>
    <w:p w14:paraId="1E6F691B" w14:textId="4DEA5DB7" w:rsidR="00332C3E" w:rsidRDefault="00332C3E" w:rsidP="00332C3E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v=g⋅t</m:t>
        </m:r>
      </m:oMath>
      <w:r w:rsidRPr="00551C1E">
        <w:rPr>
          <w:rFonts w:eastAsiaTheme="minorEastAsia"/>
          <w:sz w:val="24"/>
          <w:szCs w:val="24"/>
        </w:rPr>
        <w:t xml:space="preserve">     </w:t>
      </w:r>
      <m:oMath>
        <m:r>
          <w:rPr>
            <w:rFonts w:ascii="Cambria Math" w:eastAsiaTheme="minorEastAsia" w:hAnsi="Cambria Math"/>
            <w:sz w:val="24"/>
            <w:szCs w:val="24"/>
          </w:rPr>
          <m:t>S=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g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551C1E">
        <w:rPr>
          <w:rFonts w:eastAsiaTheme="minorEastAsia"/>
          <w:sz w:val="24"/>
          <w:szCs w:val="24"/>
        </w:rPr>
        <w:t xml:space="preserve">  </w:t>
      </w:r>
    </w:p>
    <w:p w14:paraId="17AC4B59" w14:textId="77777777" w:rsidR="00551C1E" w:rsidRPr="00551C1E" w:rsidRDefault="00551C1E" w:rsidP="00332C3E">
      <w:pPr>
        <w:rPr>
          <w:rFonts w:eastAsiaTheme="minorEastAsia"/>
          <w:sz w:val="24"/>
          <w:szCs w:val="24"/>
        </w:rPr>
      </w:pPr>
    </w:p>
    <w:p w14:paraId="2CEA4D7D" w14:textId="62224B82" w:rsidR="00551C1E" w:rsidRDefault="008B74BE" w:rsidP="00332C3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Pohyb po kružnic</w:t>
      </w:r>
      <w:r w:rsidR="00551C1E">
        <w:rPr>
          <w:rFonts w:eastAsiaTheme="minorEastAsia"/>
          <w:sz w:val="28"/>
          <w:szCs w:val="28"/>
        </w:rPr>
        <w:t>i</w:t>
      </w:r>
    </w:p>
    <w:p w14:paraId="6F3873C0" w14:textId="780EC29A" w:rsidR="008B74BE" w:rsidRPr="00551C1E" w:rsidRDefault="008B74BE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Perioda:</w:t>
      </w:r>
      <w:r w:rsidRPr="00551C1E">
        <w:rPr>
          <w:rFonts w:eastAsiaTheme="minorEastAsia"/>
          <w:sz w:val="24"/>
          <w:szCs w:val="24"/>
        </w:rPr>
        <w:t xml:space="preserve"> doba za, kterou opíše HB celou kružnici</w:t>
      </w:r>
    </w:p>
    <w:p w14:paraId="35F97BF4" w14:textId="4D1FB6FA" w:rsidR="008B74BE" w:rsidRPr="00551C1E" w:rsidRDefault="008B74BE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Frekvence:</w:t>
      </w:r>
      <w:r w:rsidRPr="00551C1E">
        <w:rPr>
          <w:rFonts w:eastAsiaTheme="minorEastAsia"/>
          <w:sz w:val="24"/>
          <w:szCs w:val="24"/>
        </w:rPr>
        <w:t xml:space="preserve"> počet oběhů za jednotku času</w:t>
      </w:r>
    </w:p>
    <w:p w14:paraId="46B6B293" w14:textId="39E47008" w:rsidR="008B74BE" w:rsidRPr="00551C1E" w:rsidRDefault="008B74BE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sz w:val="24"/>
          <w:szCs w:val="24"/>
        </w:rPr>
        <w:t xml:space="preserve">Dráha je rovna obvodu kružnice: </w:t>
      </w:r>
      <m:oMath>
        <m:r>
          <w:rPr>
            <w:rFonts w:ascii="Cambria Math" w:eastAsiaTheme="minorEastAsia" w:hAnsi="Cambria Math"/>
            <w:sz w:val="24"/>
            <w:szCs w:val="24"/>
          </w:rPr>
          <m:t>s=2πr</m:t>
        </m:r>
      </m:oMath>
    </w:p>
    <w:p w14:paraId="2F8DC344" w14:textId="31DD2C7D" w:rsidR="008B74BE" w:rsidRPr="00551C1E" w:rsidRDefault="008B74BE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Úhlová rychlost:</w:t>
      </w:r>
      <w:r w:rsidRPr="00551C1E">
        <w:rPr>
          <w:rFonts w:eastAsiaTheme="minorEastAsia"/>
          <w:sz w:val="24"/>
          <w:szCs w:val="24"/>
        </w:rPr>
        <w:t xml:space="preserve"> určena úhlem, co opíše průvodič HB za sekundu. Jednotka = rad/s</w:t>
      </w:r>
    </w:p>
    <w:p w14:paraId="31899431" w14:textId="0606DC05" w:rsidR="00187E11" w:rsidRPr="00551C1E" w:rsidRDefault="008B74BE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sz w:val="24"/>
          <w:szCs w:val="24"/>
        </w:rPr>
        <w:t xml:space="preserve">Při rovnoměrném pohybu: </w:t>
      </w:r>
      <m:oMath>
        <m:r>
          <w:rPr>
            <w:rFonts w:ascii="Cambria Math" w:eastAsiaTheme="minorEastAsia" w:hAnsi="Cambria Math"/>
            <w:sz w:val="24"/>
            <w:szCs w:val="24"/>
          </w:rPr>
          <m:t>v=ω⋅r</m:t>
        </m:r>
      </m:oMath>
    </w:p>
    <w:p w14:paraId="6F17C7BF" w14:textId="1DF477AA" w:rsidR="008B74BE" w:rsidRPr="00551C1E" w:rsidRDefault="008B74BE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Radián:</w:t>
      </w:r>
      <w:r w:rsidRPr="00551C1E">
        <w:rPr>
          <w:rFonts w:eastAsiaTheme="minorEastAsia"/>
          <w:sz w:val="24"/>
          <w:szCs w:val="24"/>
        </w:rPr>
        <w:t xml:space="preserve"> jednotka úhlu místo stupňů </w:t>
      </w:r>
      <m:oMath>
        <m:r>
          <w:rPr>
            <w:rFonts w:ascii="Cambria Math" w:eastAsiaTheme="minorEastAsia" w:hAnsi="Cambria Math"/>
            <w:sz w:val="24"/>
            <w:szCs w:val="24"/>
          </w:rPr>
          <m:t>2π rad=360°</m:t>
        </m:r>
      </m:oMath>
    </w:p>
    <w:p w14:paraId="66B4D9BE" w14:textId="0AFD6102" w:rsidR="008B74BE" w:rsidRPr="00551C1E" w:rsidRDefault="008B74BE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Dostředivé zrychlení:</w:t>
      </w:r>
      <w:r w:rsidRPr="00551C1E">
        <w:rPr>
          <w:rFonts w:eastAsiaTheme="minorEastAsia"/>
          <w:sz w:val="24"/>
          <w:szCs w:val="24"/>
        </w:rPr>
        <w:t xml:space="preserve"> </w:t>
      </w:r>
      <w:r w:rsidR="00187E11" w:rsidRPr="00551C1E">
        <w:rPr>
          <w:rFonts w:eastAsiaTheme="minorEastAsia"/>
          <w:sz w:val="24"/>
          <w:szCs w:val="24"/>
        </w:rPr>
        <w:t xml:space="preserve">Změna směru rychlosti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⋅r</m:t>
        </m:r>
      </m:oMath>
    </w:p>
    <w:p w14:paraId="6F5B6E8A" w14:textId="218E0E91" w:rsidR="00187E11" w:rsidRPr="00551C1E" w:rsidRDefault="00187E11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Obvodová rychlost:</w:t>
      </w:r>
      <w:r w:rsidRPr="00551C1E">
        <w:rPr>
          <w:rFonts w:eastAsiaTheme="minorEastAsia"/>
          <w:sz w:val="24"/>
          <w:szCs w:val="24"/>
        </w:rPr>
        <w:t xml:space="preserve"> rychlost při pohybu po kružnici</w:t>
      </w:r>
      <w:r w:rsidR="00551C1E" w:rsidRPr="00551C1E">
        <w:rPr>
          <w:rFonts w:eastAsiaTheme="minorEastAsia"/>
          <w:sz w:val="24"/>
          <w:szCs w:val="24"/>
        </w:rPr>
        <w:t>.</w:t>
      </w:r>
      <w:r w:rsidRPr="00551C1E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ob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 xml:space="preserve"> ω∙r</m:t>
        </m:r>
      </m:oMath>
    </w:p>
    <w:p w14:paraId="5BF00808" w14:textId="5197ACBE" w:rsidR="00187E11" w:rsidRPr="00551C1E" w:rsidRDefault="00187E11" w:rsidP="00332C3E">
      <w:pPr>
        <w:rPr>
          <w:rFonts w:eastAsiaTheme="minorEastAsia"/>
          <w:sz w:val="24"/>
          <w:szCs w:val="24"/>
        </w:rPr>
      </w:pPr>
      <w:r w:rsidRPr="00551C1E">
        <w:rPr>
          <w:rFonts w:eastAsiaTheme="minorEastAsia"/>
          <w:b/>
          <w:bCs/>
          <w:sz w:val="24"/>
          <w:szCs w:val="24"/>
        </w:rPr>
        <w:t>Úhlové zrychlení:</w:t>
      </w:r>
      <w:r w:rsidRPr="00551C1E">
        <w:rPr>
          <w:rFonts w:eastAsiaTheme="minorEastAsia"/>
          <w:sz w:val="24"/>
          <w:szCs w:val="24"/>
        </w:rPr>
        <w:t xml:space="preserve"> změna úhlové rychlosti za změnu času.</w:t>
      </w:r>
    </w:p>
    <w:p w14:paraId="7CA4E0F7" w14:textId="33AB86AF" w:rsidR="00187E11" w:rsidRDefault="00187E11" w:rsidP="00332C3E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ε=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ω-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t-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</m:sSub>
          </m:den>
        </m:f>
      </m:oMath>
      <w:r w:rsidRPr="00551C1E">
        <w:rPr>
          <w:rFonts w:eastAsiaTheme="minorEastAsia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/>
            <w:sz w:val="24"/>
            <w:szCs w:val="24"/>
          </w:rPr>
          <m:t>φ=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ε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t+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o</m:t>
            </m:r>
          </m:sub>
        </m:sSub>
      </m:oMath>
      <w:r w:rsidR="00551C1E" w:rsidRPr="00551C1E">
        <w:rPr>
          <w:rFonts w:eastAsiaTheme="minorEastAsia"/>
          <w:sz w:val="24"/>
          <w:szCs w:val="24"/>
        </w:rPr>
        <w:t xml:space="preserve"> </w:t>
      </w:r>
    </w:p>
    <w:p w14:paraId="6E45D52D" w14:textId="77777777" w:rsidR="00551C1E" w:rsidRDefault="00551C1E" w:rsidP="00332C3E">
      <w:pPr>
        <w:rPr>
          <w:rFonts w:eastAsiaTheme="minorEastAsia"/>
          <w:sz w:val="24"/>
          <w:szCs w:val="24"/>
        </w:rPr>
      </w:pPr>
    </w:p>
    <w:p w14:paraId="6B1912AD" w14:textId="1A4A08C8" w:rsidR="00551C1E" w:rsidRDefault="00551C1E" w:rsidP="00551C1E">
      <w:pPr>
        <w:pStyle w:val="Nzev"/>
        <w:rPr>
          <w:rFonts w:eastAsiaTheme="minorEastAsia"/>
        </w:rPr>
      </w:pPr>
      <w:r>
        <w:rPr>
          <w:rFonts w:eastAsiaTheme="minorEastAsia"/>
        </w:rPr>
        <w:lastRenderedPageBreak/>
        <w:t>Dynamika</w:t>
      </w:r>
    </w:p>
    <w:p w14:paraId="17475E4E" w14:textId="77777777" w:rsidR="00551C1E" w:rsidRDefault="00551C1E" w:rsidP="00551C1E"/>
    <w:p w14:paraId="5748E274" w14:textId="5E3C7B4C" w:rsidR="00551C1E" w:rsidRDefault="00551C1E" w:rsidP="00551C1E">
      <w:pPr>
        <w:rPr>
          <w:sz w:val="28"/>
          <w:szCs w:val="28"/>
        </w:rPr>
      </w:pPr>
      <w:r>
        <w:rPr>
          <w:sz w:val="28"/>
          <w:szCs w:val="28"/>
        </w:rPr>
        <w:t>1.Newtonův zákon (setrvačnosti)</w:t>
      </w:r>
    </w:p>
    <w:p w14:paraId="2D2B4B16" w14:textId="05A79C3F" w:rsidR="00551C1E" w:rsidRDefault="00551C1E" w:rsidP="00551C1E">
      <w:pPr>
        <w:jc w:val="both"/>
        <w:rPr>
          <w:sz w:val="24"/>
          <w:szCs w:val="24"/>
        </w:rPr>
      </w:pPr>
      <w:r w:rsidRPr="00551C1E">
        <w:rPr>
          <w:b/>
          <w:bCs/>
          <w:sz w:val="24"/>
          <w:szCs w:val="24"/>
        </w:rPr>
        <w:t>Definice:</w:t>
      </w:r>
      <w:r>
        <w:rPr>
          <w:sz w:val="24"/>
          <w:szCs w:val="24"/>
        </w:rPr>
        <w:t xml:space="preserve"> </w:t>
      </w:r>
      <w:r w:rsidRPr="00551C1E">
        <w:rPr>
          <w:sz w:val="24"/>
          <w:szCs w:val="24"/>
        </w:rPr>
        <w:t>Těleso setrvává v relativním klidu, nebo rovnoměrném pohybu, dokud není přinuceno silovým působením jiných těles tento pohybový stav změnit</w:t>
      </w:r>
      <w:r>
        <w:rPr>
          <w:sz w:val="24"/>
          <w:szCs w:val="24"/>
        </w:rPr>
        <w:t>.</w:t>
      </w:r>
    </w:p>
    <w:p w14:paraId="50A009B0" w14:textId="0BCB7C0C" w:rsidR="00551C1E" w:rsidRDefault="00551C1E" w:rsidP="00551C1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.Newtonův zákon</w:t>
      </w:r>
      <w:r>
        <w:rPr>
          <w:sz w:val="28"/>
          <w:szCs w:val="28"/>
        </w:rPr>
        <w:t xml:space="preserve"> (síly)</w:t>
      </w:r>
    </w:p>
    <w:p w14:paraId="39D6BC29" w14:textId="6BA7613E" w:rsidR="00551C1E" w:rsidRDefault="00551C1E" w:rsidP="00551C1E">
      <w:pPr>
        <w:rPr>
          <w:sz w:val="24"/>
          <w:szCs w:val="24"/>
        </w:rPr>
      </w:pPr>
      <w:r w:rsidRPr="00551C1E">
        <w:rPr>
          <w:b/>
          <w:bCs/>
          <w:sz w:val="24"/>
          <w:szCs w:val="24"/>
        </w:rPr>
        <w:t>Definice:</w:t>
      </w:r>
      <w:r>
        <w:rPr>
          <w:b/>
          <w:bCs/>
          <w:sz w:val="24"/>
          <w:szCs w:val="24"/>
        </w:rPr>
        <w:t xml:space="preserve"> </w:t>
      </w:r>
      <w:r w:rsidR="00F00848">
        <w:rPr>
          <w:sz w:val="24"/>
          <w:szCs w:val="24"/>
        </w:rPr>
        <w:t>Pokud na těleso působí síla, pak se těleso pohybuje se zrychlením, které je úměrné působící síle a neúměrné hmotnosti.</w:t>
      </w:r>
    </w:p>
    <w:p w14:paraId="37C48DA6" w14:textId="25B9E77D" w:rsidR="00F00848" w:rsidRDefault="00F00848" w:rsidP="00551C1E">
      <w:p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F=m⋅a</m:t>
        </m:r>
      </m:oMath>
      <w:r>
        <w:rPr>
          <w:rFonts w:eastAsiaTheme="minorEastAsia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/>
            <w:sz w:val="24"/>
            <w:szCs w:val="24"/>
          </w:rPr>
          <m:t>F=m⋅g</m:t>
        </m:r>
      </m:oMath>
    </w:p>
    <w:p w14:paraId="585AE088" w14:textId="66C8B2E6" w:rsidR="00F00848" w:rsidRDefault="00F00848" w:rsidP="00551C1E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.Newtonův zákon</w:t>
      </w:r>
      <w:r>
        <w:rPr>
          <w:sz w:val="28"/>
          <w:szCs w:val="28"/>
        </w:rPr>
        <w:t xml:space="preserve"> (akce a reakce) </w:t>
      </w:r>
    </w:p>
    <w:p w14:paraId="2E924064" w14:textId="11FC5EB2" w:rsidR="00F00848" w:rsidRDefault="00F00848" w:rsidP="00551C1E">
      <w:pPr>
        <w:rPr>
          <w:sz w:val="24"/>
          <w:szCs w:val="24"/>
        </w:rPr>
      </w:pPr>
      <w:r w:rsidRPr="00551C1E">
        <w:rPr>
          <w:b/>
          <w:bCs/>
          <w:sz w:val="24"/>
          <w:szCs w:val="24"/>
        </w:rPr>
        <w:t>Definice: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Proti každé akci je vždy úměrná reakce neboli vzájemné působení těles jsou vždy stejně velká a míří na opačné strany.</w:t>
      </w:r>
    </w:p>
    <w:p w14:paraId="66C0DB7E" w14:textId="207EF611" w:rsidR="00F00848" w:rsidRDefault="00F00848" w:rsidP="00551C1E">
      <w:pPr>
        <w:rPr>
          <w:sz w:val="28"/>
          <w:szCs w:val="28"/>
        </w:rPr>
      </w:pPr>
      <w:r>
        <w:rPr>
          <w:sz w:val="28"/>
          <w:szCs w:val="28"/>
        </w:rPr>
        <w:t>Hybnost tělesa</w:t>
      </w:r>
    </w:p>
    <w:p w14:paraId="6FB8D2E1" w14:textId="78502195" w:rsidR="00F00848" w:rsidRDefault="00F00848" w:rsidP="00551C1E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Součin hmotnosti a rychlosti tělesa. </w:t>
      </w:r>
      <m:oMath>
        <m:r>
          <w:rPr>
            <w:rFonts w:ascii="Cambria Math" w:hAnsi="Cambria Math"/>
            <w:sz w:val="24"/>
            <w:szCs w:val="24"/>
          </w:rPr>
          <m:t>p=m⋅v</m:t>
        </m:r>
      </m:oMath>
    </w:p>
    <w:p w14:paraId="74859200" w14:textId="364BC2B2" w:rsidR="00F00848" w:rsidRDefault="00F00848" w:rsidP="00551C1E">
      <w:pPr>
        <w:rPr>
          <w:rFonts w:eastAsiaTheme="minorEastAsia"/>
          <w:sz w:val="24"/>
          <w:szCs w:val="24"/>
        </w:rPr>
      </w:pPr>
      <w:r w:rsidRPr="00F00848">
        <w:rPr>
          <w:rFonts w:eastAsiaTheme="minorEastAsia"/>
          <w:b/>
          <w:bCs/>
          <w:sz w:val="24"/>
          <w:szCs w:val="24"/>
        </w:rPr>
        <w:t>Jednotka:</w:t>
      </w:r>
      <w:r>
        <w:rPr>
          <w:rFonts w:eastAsiaTheme="minorEastAsia"/>
          <w:b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kg∙m∙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</w:p>
    <w:p w14:paraId="03B41BEE" w14:textId="14CFF08D" w:rsidR="00F00848" w:rsidRPr="00F00848" w:rsidRDefault="00F00848" w:rsidP="00551C1E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Δp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Δt</m:t>
              </m:r>
            </m:den>
          </m:f>
        </m:oMath>
      </m:oMathPara>
    </w:p>
    <w:p w14:paraId="3B4590A8" w14:textId="4233407D" w:rsidR="00F00848" w:rsidRDefault="00071924" w:rsidP="00551C1E">
      <w:pPr>
        <w:rPr>
          <w:sz w:val="28"/>
          <w:szCs w:val="28"/>
        </w:rPr>
      </w:pPr>
      <w:r>
        <w:rPr>
          <w:sz w:val="28"/>
          <w:szCs w:val="28"/>
        </w:rPr>
        <w:t>Zákon o zachování hybnosti</w:t>
      </w:r>
    </w:p>
    <w:p w14:paraId="3710BF94" w14:textId="4DE026EE" w:rsidR="00071924" w:rsidRDefault="00071924" w:rsidP="00551C1E">
      <w:pPr>
        <w:rPr>
          <w:sz w:val="24"/>
          <w:szCs w:val="24"/>
        </w:rPr>
      </w:pPr>
      <w:r>
        <w:rPr>
          <w:sz w:val="24"/>
          <w:szCs w:val="24"/>
        </w:rPr>
        <w:t>Jsou-li dvě tělesa uvedena z klidu do pohybu jen vzájemným silovým působením, zůstává součet jejich hybností nulový, stejně jako před uvedením do pohybu.</w:t>
      </w:r>
    </w:p>
    <w:p w14:paraId="2D44A427" w14:textId="496BF399" w:rsidR="00071924" w:rsidRDefault="00071924" w:rsidP="00551C1E">
      <w:pPr>
        <w:rPr>
          <w:sz w:val="28"/>
          <w:szCs w:val="28"/>
        </w:rPr>
      </w:pPr>
      <w:r>
        <w:rPr>
          <w:sz w:val="28"/>
          <w:szCs w:val="28"/>
        </w:rPr>
        <w:t>Inerciální vztažné soustavy</w:t>
      </w:r>
    </w:p>
    <w:p w14:paraId="6E86B79B" w14:textId="42AE336F" w:rsidR="00071924" w:rsidRDefault="00071924" w:rsidP="00551C1E">
      <w:pPr>
        <w:rPr>
          <w:sz w:val="24"/>
          <w:szCs w:val="24"/>
        </w:rPr>
      </w:pPr>
      <w:r>
        <w:rPr>
          <w:sz w:val="24"/>
          <w:szCs w:val="24"/>
        </w:rPr>
        <w:t>v = konstantní a přímočará</w:t>
      </w:r>
    </w:p>
    <w:p w14:paraId="5A7E3E55" w14:textId="0D9421EE" w:rsidR="00071924" w:rsidRDefault="00071924" w:rsidP="00551C1E">
      <w:pPr>
        <w:rPr>
          <w:sz w:val="24"/>
          <w:szCs w:val="24"/>
        </w:rPr>
      </w:pPr>
      <w:r>
        <w:rPr>
          <w:sz w:val="24"/>
          <w:szCs w:val="24"/>
        </w:rPr>
        <w:t>Galileiho princip relativity: zákony a rovnice jsou ve všech inerciálních soustavách stejné.</w:t>
      </w:r>
    </w:p>
    <w:p w14:paraId="518B74B5" w14:textId="30A9CBB5" w:rsidR="00071924" w:rsidRDefault="00071924" w:rsidP="00551C1E">
      <w:pPr>
        <w:rPr>
          <w:sz w:val="24"/>
          <w:szCs w:val="24"/>
        </w:rPr>
      </w:pPr>
      <w:r>
        <w:rPr>
          <w:sz w:val="24"/>
          <w:szCs w:val="24"/>
        </w:rPr>
        <w:t>Einsteinův princip relativity: zákony jsou všude stejné, mění se pouze rovnice.</w:t>
      </w:r>
    </w:p>
    <w:p w14:paraId="40A7C1B0" w14:textId="773F79C8" w:rsidR="00422C0C" w:rsidRDefault="00422C0C" w:rsidP="00551C1E">
      <w:pPr>
        <w:rPr>
          <w:sz w:val="28"/>
          <w:szCs w:val="28"/>
        </w:rPr>
      </w:pPr>
      <w:r>
        <w:rPr>
          <w:sz w:val="28"/>
          <w:szCs w:val="28"/>
        </w:rPr>
        <w:t>Smykové tření</w:t>
      </w:r>
    </w:p>
    <w:p w14:paraId="77987F26" w14:textId="7C0F3D27" w:rsidR="00422C0C" w:rsidRPr="00422C0C" w:rsidRDefault="00422C0C" w:rsidP="00551C1E">
      <w:pPr>
        <w:rPr>
          <w:sz w:val="24"/>
          <w:szCs w:val="24"/>
        </w:rPr>
      </w:pPr>
      <w:r w:rsidRPr="00422C0C">
        <w:rPr>
          <w:sz w:val="24"/>
          <w:szCs w:val="24"/>
        </w:rPr>
        <w:t>Třecí síla nezávisí na p</w:t>
      </w:r>
      <w:r>
        <w:rPr>
          <w:sz w:val="24"/>
          <w:szCs w:val="24"/>
        </w:rPr>
        <w:t>l</w:t>
      </w:r>
      <w:r w:rsidRPr="00422C0C">
        <w:rPr>
          <w:sz w:val="24"/>
          <w:szCs w:val="24"/>
        </w:rPr>
        <w:t>oše</w:t>
      </w:r>
      <w:r>
        <w:rPr>
          <w:sz w:val="24"/>
          <w:szCs w:val="24"/>
        </w:rPr>
        <w:t>.</w:t>
      </w:r>
    </w:p>
    <w:p w14:paraId="1B1B9649" w14:textId="10E575FD" w:rsidR="00422C0C" w:rsidRPr="00422C0C" w:rsidRDefault="00422C0C" w:rsidP="00551C1E">
      <w:pPr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=f⋅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</m:oMath>
      </m:oMathPara>
    </w:p>
    <w:p w14:paraId="0724A268" w14:textId="2573A3CA" w:rsidR="00071924" w:rsidRDefault="007E0A71" w:rsidP="00551C1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22C0C">
        <w:rPr>
          <w:sz w:val="28"/>
          <w:szCs w:val="28"/>
        </w:rPr>
        <w:t>Valivý odpor</w:t>
      </w:r>
    </w:p>
    <w:p w14:paraId="3F6E1493" w14:textId="6E0EFDE5" w:rsidR="00422C0C" w:rsidRPr="00422C0C" w:rsidRDefault="00422C0C" w:rsidP="00551C1E">
      <w:pPr>
        <w:rPr>
          <w:sz w:val="24"/>
          <w:szCs w:val="24"/>
        </w:rPr>
      </w:pPr>
      <w:r>
        <w:rPr>
          <w:sz w:val="24"/>
          <w:szCs w:val="24"/>
        </w:rPr>
        <w:t>Těleso o vodorovném průřezu se valí po vodorovné podložce.</w:t>
      </w:r>
      <w:r w:rsidRPr="00422C0C">
        <w:rPr>
          <w:rFonts w:ascii="Cambria Math" w:hAnsi="Cambria Math"/>
          <w:i/>
          <w:sz w:val="24"/>
          <w:szCs w:val="24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=ξ∙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den>
          </m:f>
        </m:oMath>
      </m:oMathPara>
    </w:p>
    <w:sectPr w:rsidR="00422C0C" w:rsidRPr="00422C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3E"/>
    <w:rsid w:val="00071924"/>
    <w:rsid w:val="00187E11"/>
    <w:rsid w:val="00332C3E"/>
    <w:rsid w:val="00422C0C"/>
    <w:rsid w:val="00443978"/>
    <w:rsid w:val="00551C1E"/>
    <w:rsid w:val="005843A5"/>
    <w:rsid w:val="00694DD0"/>
    <w:rsid w:val="007E0A71"/>
    <w:rsid w:val="008B74BE"/>
    <w:rsid w:val="00C90B7F"/>
    <w:rsid w:val="00F0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CB5"/>
  <w15:chartTrackingRefBased/>
  <w15:docId w15:val="{C27FC366-60E5-4072-8273-3A6A0EE1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332C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Zstupntext">
    <w:name w:val="Placeholder Text"/>
    <w:basedOn w:val="Standardnpsmoodstavce"/>
    <w:uiPriority w:val="99"/>
    <w:semiHidden/>
    <w:rsid w:val="00332C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330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Svěchota</dc:creator>
  <cp:keywords/>
  <dc:description/>
  <cp:lastModifiedBy>Matyáš Svěchota</cp:lastModifiedBy>
  <cp:revision>2</cp:revision>
  <dcterms:created xsi:type="dcterms:W3CDTF">2023-12-17T16:23:00Z</dcterms:created>
  <dcterms:modified xsi:type="dcterms:W3CDTF">2023-12-17T16:23:00Z</dcterms:modified>
</cp:coreProperties>
</file>